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BCD593">
      <w:pPr>
        <w:keepNext w:val="0"/>
        <w:keepLines w:val="0"/>
        <w:pageBreakBefore w:val="0"/>
        <w:widowControl/>
        <w:kinsoku/>
        <w:wordWrap w:val="0"/>
        <w:overflowPunct/>
        <w:topLinePunct w:val="0"/>
        <w:autoSpaceDE w:val="0"/>
        <w:autoSpaceDN w:val="0"/>
        <w:bidi w:val="0"/>
        <w:adjustRightInd w:val="0"/>
        <w:snapToGrid w:val="0"/>
        <w:spacing w:line="560" w:lineRule="exact"/>
        <w:textAlignment w:val="baseline"/>
        <w:rPr>
          <w:rFonts w:hint="eastAsia" w:ascii="Times New Roman" w:hAnsi="Times New Roman" w:eastAsia="仿宋" w:cs="仿宋"/>
          <w:color w:val="auto"/>
          <w:sz w:val="32"/>
          <w:szCs w:val="32"/>
        </w:rPr>
      </w:pPr>
      <w:r>
        <w:rPr>
          <w:rFonts w:hint="eastAsia" w:ascii="Times New Roman" w:hAnsi="Times New Roman" w:eastAsia="仿宋" w:cs="仿宋"/>
          <w:color w:val="auto"/>
          <w:sz w:val="32"/>
          <w:szCs w:val="32"/>
        </w:rPr>
        <w:t>附件1</w:t>
      </w:r>
    </w:p>
    <w:p w14:paraId="52E62DC0">
      <w:pPr>
        <w:keepNext w:val="0"/>
        <w:keepLines w:val="0"/>
        <w:pageBreakBefore w:val="0"/>
        <w:widowControl/>
        <w:kinsoku/>
        <w:wordWrap w:val="0"/>
        <w:overflowPunct/>
        <w:topLinePunct w:val="0"/>
        <w:autoSpaceDE w:val="0"/>
        <w:autoSpaceDN w:val="0"/>
        <w:bidi w:val="0"/>
        <w:adjustRightInd w:val="0"/>
        <w:snapToGrid w:val="0"/>
        <w:spacing w:line="560" w:lineRule="exact"/>
        <w:jc w:val="center"/>
        <w:textAlignment w:val="baseline"/>
        <w:rPr>
          <w:rFonts w:hint="eastAsia" w:ascii="黑体" w:hAnsi="黑体" w:eastAsia="黑体" w:cs="黑体"/>
          <w:color w:val="auto"/>
          <w:sz w:val="32"/>
          <w:szCs w:val="32"/>
        </w:rPr>
      </w:pPr>
      <w:r>
        <w:rPr>
          <w:rFonts w:hint="eastAsia" w:ascii="黑体" w:hAnsi="黑体" w:eastAsia="黑体" w:cs="黑体"/>
          <w:color w:val="auto"/>
          <w:sz w:val="32"/>
          <w:szCs w:val="32"/>
        </w:rPr>
        <w:t>2026年度陕西省档案科技项目立项选题指南</w:t>
      </w:r>
    </w:p>
    <w:p w14:paraId="5B3DAE22">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s="仿宋"/>
          <w:color w:val="auto"/>
          <w:sz w:val="32"/>
          <w:szCs w:val="32"/>
        </w:rPr>
      </w:pPr>
      <w:r>
        <w:rPr>
          <w:rFonts w:hint="eastAsia" w:ascii="Times New Roman" w:hAnsi="Times New Roman" w:eastAsia="仿宋" w:cs="仿宋"/>
          <w:color w:val="auto"/>
          <w:sz w:val="32"/>
          <w:szCs w:val="32"/>
        </w:rPr>
        <w:t>为深入贯彻习近平总书记历次来陕考察重要讲话重要指示和对档案工作的重要指示精神，深入落实国家档案事业发展“十五五”规划要求，围绕陕西高质量发展大局中档案工作的切入点与着力点，以数字转型和智能升级为主攻方向，加速优秀档案科技成果转化应用，开展创新性、先进性、实用性的档案科技研究，制定本指</w:t>
      </w:r>
      <w:r>
        <w:rPr>
          <w:rFonts w:hint="eastAsia" w:ascii="Times New Roman" w:hAnsi="Times New Roman" w:eastAsia="仿宋" w:cs="仿宋"/>
          <w:color w:val="auto"/>
          <w:sz w:val="32"/>
          <w:szCs w:val="32"/>
        </w:rPr>
        <w:t>南。</w:t>
      </w:r>
    </w:p>
    <w:p w14:paraId="3A4F469E">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textAlignment w:val="baseline"/>
        <w:rPr>
          <w:rFonts w:hint="eastAsia" w:ascii="黑体" w:hAnsi="黑体" w:eastAsia="黑体" w:cs="黑体"/>
          <w:color w:val="auto"/>
          <w:sz w:val="32"/>
          <w:szCs w:val="32"/>
        </w:rPr>
      </w:pPr>
      <w:r>
        <w:rPr>
          <w:rFonts w:hint="eastAsia" w:ascii="黑体" w:hAnsi="黑体" w:eastAsia="黑体" w:cs="黑体"/>
          <w:color w:val="auto"/>
          <w:sz w:val="32"/>
          <w:szCs w:val="32"/>
        </w:rPr>
        <w:t>一、档案治理体系方向</w:t>
      </w:r>
    </w:p>
    <w:p w14:paraId="11801FCD">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s="仿宋"/>
          <w:color w:val="auto"/>
          <w:sz w:val="32"/>
          <w:szCs w:val="32"/>
        </w:rPr>
      </w:pPr>
      <w:r>
        <w:rPr>
          <w:rFonts w:hint="eastAsia" w:ascii="Times New Roman" w:hAnsi="Times New Roman" w:eastAsia="仿宋" w:cs="仿宋"/>
          <w:color w:val="auto"/>
          <w:sz w:val="32"/>
          <w:szCs w:val="32"/>
        </w:rPr>
        <w:t>围绕档案治理效能提升与体制机制创新，重点研究</w:t>
      </w:r>
      <w:r>
        <w:rPr>
          <w:rFonts w:hint="eastAsia" w:ascii="Times New Roman" w:hAnsi="Times New Roman" w:eastAsia="仿宋" w:cs="仿宋"/>
          <w:color w:val="auto"/>
          <w:sz w:val="32"/>
          <w:szCs w:val="32"/>
        </w:rPr>
        <w:t>档案工作数字转型背景下治理规则与标准的适应性变革，档案工作主动融入和服务区域协调发展战略、国家重大战略的机制，提升开发区(自贸区、高新区、经开区)档案管理服务水平，档案工作服务乡村振兴和基层社会治理的县域实践模式，基层档案机构履职能力建设与执法规范化提升，</w:t>
      </w:r>
      <w:r>
        <w:rPr>
          <w:rFonts w:hint="eastAsia" w:ascii="Times New Roman" w:hAnsi="Times New Roman" w:eastAsia="仿宋" w:cs="仿宋"/>
          <w:color w:val="auto"/>
          <w:sz w:val="32"/>
          <w:szCs w:val="32"/>
        </w:rPr>
        <w:t>建设项目档案监督指导方式创新，档案人才队伍评价与数字化能力培养，数智赋能背景下档案专业技术人才与职业技能人才融合发展等方面开展研究。</w:t>
      </w:r>
    </w:p>
    <w:p w14:paraId="49AABB77">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textAlignment w:val="baseline"/>
        <w:rPr>
          <w:rFonts w:hint="eastAsia" w:ascii="黑体" w:hAnsi="黑体" w:eastAsia="黑体" w:cs="黑体"/>
          <w:color w:val="auto"/>
          <w:sz w:val="32"/>
          <w:szCs w:val="32"/>
        </w:rPr>
      </w:pPr>
      <w:r>
        <w:rPr>
          <w:rFonts w:hint="eastAsia" w:ascii="黑体" w:hAnsi="黑体" w:eastAsia="黑体" w:cs="黑体"/>
          <w:color w:val="auto"/>
          <w:sz w:val="32"/>
          <w:szCs w:val="32"/>
        </w:rPr>
        <w:t>二、档案资源体系方向</w:t>
      </w:r>
    </w:p>
    <w:p w14:paraId="0C126FCF">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s="仿宋"/>
          <w:color w:val="auto"/>
          <w:sz w:val="32"/>
          <w:szCs w:val="32"/>
        </w:rPr>
      </w:pPr>
      <w:r>
        <w:rPr>
          <w:rFonts w:hint="eastAsia" w:ascii="Times New Roman" w:hAnsi="Times New Roman" w:eastAsia="仿宋" w:cs="仿宋"/>
          <w:color w:val="auto"/>
          <w:sz w:val="32"/>
          <w:szCs w:val="32"/>
        </w:rPr>
        <w:t>围绕档案资源建设与质量管控，重点研究拓</w:t>
      </w:r>
      <w:r>
        <w:rPr>
          <w:rFonts w:hint="eastAsia" w:ascii="Times New Roman" w:hAnsi="Times New Roman" w:eastAsia="仿宋" w:cs="仿宋"/>
          <w:color w:val="auto"/>
          <w:sz w:val="32"/>
          <w:szCs w:val="32"/>
        </w:rPr>
        <w:t>展档案资源归集范围，自主可控环境下档案数据资源建设与治理，红色档案(尤其是延安时期革命档案)、重特大事件档案、非遗档案和地方特色档案的接收、征集、整理和专题数据库建设，</w:t>
      </w:r>
      <w:r>
        <w:rPr>
          <w:rFonts w:hint="eastAsia" w:ascii="Times New Roman" w:hAnsi="Times New Roman" w:eastAsia="仿宋" w:cs="仿宋"/>
          <w:color w:val="auto"/>
          <w:sz w:val="32"/>
          <w:szCs w:val="32"/>
        </w:rPr>
        <w:t>口述材料和新媒体信息采集，档案资源质量管控，档案价值鉴定和评估，跨部门和跨地区档案资源共建平台与机制，多门类、多载体馆藏档案资源建设，</w:t>
      </w:r>
      <w:r>
        <w:rPr>
          <w:rFonts w:hint="eastAsia" w:ascii="Times New Roman" w:hAnsi="Times New Roman" w:eastAsia="仿宋" w:cs="仿宋"/>
          <w:color w:val="auto"/>
          <w:sz w:val="32"/>
          <w:szCs w:val="32"/>
        </w:rPr>
        <w:t>馆藏档案数据资源质量评估与治理方法研究，档案数据资源分级分类管理等方面开展研究。</w:t>
      </w:r>
    </w:p>
    <w:p w14:paraId="32879915">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textAlignment w:val="baseline"/>
        <w:rPr>
          <w:rFonts w:hint="eastAsia" w:ascii="黑体" w:hAnsi="黑体" w:eastAsia="黑体" w:cs="黑体"/>
          <w:color w:val="auto"/>
          <w:sz w:val="32"/>
          <w:szCs w:val="32"/>
        </w:rPr>
      </w:pPr>
      <w:r>
        <w:rPr>
          <w:rFonts w:hint="eastAsia" w:ascii="黑体" w:hAnsi="黑体" w:eastAsia="黑体" w:cs="黑体"/>
          <w:color w:val="auto"/>
          <w:sz w:val="32"/>
          <w:szCs w:val="32"/>
        </w:rPr>
        <w:t>三、档案利用体系方向</w:t>
      </w:r>
    </w:p>
    <w:p w14:paraId="29C9F608">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s="仿宋"/>
          <w:color w:val="auto"/>
          <w:sz w:val="32"/>
          <w:szCs w:val="32"/>
        </w:rPr>
      </w:pPr>
      <w:r>
        <w:rPr>
          <w:rFonts w:hint="eastAsia" w:ascii="Times New Roman" w:hAnsi="Times New Roman" w:eastAsia="仿宋" w:cs="仿宋"/>
          <w:color w:val="auto"/>
          <w:sz w:val="32"/>
          <w:szCs w:val="32"/>
        </w:rPr>
        <w:t>围绕档案开放审核与利用服务创新，重点研究健全档案开放审核机制，档案资政育人服务能力提升</w:t>
      </w:r>
      <w:r>
        <w:rPr>
          <w:rFonts w:hint="eastAsia" w:ascii="Times New Roman" w:hAnsi="Times New Roman" w:eastAsia="仿宋" w:cs="仿宋"/>
          <w:color w:val="auto"/>
          <w:sz w:val="32"/>
          <w:szCs w:val="32"/>
        </w:rPr>
        <w:t>，档案服务民生利用机制，“四史”</w:t>
      </w:r>
      <w:r>
        <w:rPr>
          <w:rFonts w:hint="eastAsia" w:ascii="Times New Roman" w:hAnsi="Times New Roman" w:eastAsia="仿宋" w:cs="仿宋"/>
          <w:color w:val="auto"/>
          <w:sz w:val="32"/>
          <w:szCs w:val="32"/>
        </w:rPr>
        <w:t>教育、</w:t>
      </w:r>
      <w:r>
        <w:rPr>
          <w:rFonts w:hint="eastAsia" w:ascii="Times New Roman" w:hAnsi="Times New Roman" w:eastAsia="仿宋" w:cs="仿宋"/>
          <w:color w:val="auto"/>
          <w:sz w:val="32"/>
          <w:szCs w:val="32"/>
        </w:rPr>
        <w:t>文化“两创”、对外交流等专题档案协作开发利用，市县历史文化名城名镇名村及非物质文化遗产档案开发，陕西特色红色档案资源推广</w:t>
      </w:r>
      <w:r>
        <w:rPr>
          <w:rFonts w:hint="eastAsia" w:ascii="Times New Roman" w:hAnsi="Times New Roman" w:eastAsia="仿宋" w:cs="仿宋"/>
          <w:color w:val="auto"/>
          <w:sz w:val="32"/>
          <w:szCs w:val="32"/>
        </w:rPr>
        <w:t>，全媒体时代档案宣传展览方式方法创新，跨地区跨行业跨部门档案资源共享利用，数字人文工具在档案编研中的应用，档案知识图谱构建与多场景活化利用路径，档案助力文化遗产保护开发传承与区域协同发展等方面。</w:t>
      </w:r>
    </w:p>
    <w:p w14:paraId="1313848D">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textAlignment w:val="baseline"/>
        <w:rPr>
          <w:rFonts w:hint="eastAsia" w:ascii="黑体" w:hAnsi="黑体" w:eastAsia="黑体" w:cs="黑体"/>
          <w:color w:val="auto"/>
          <w:sz w:val="32"/>
          <w:szCs w:val="32"/>
        </w:rPr>
      </w:pPr>
      <w:r>
        <w:rPr>
          <w:rFonts w:hint="eastAsia" w:ascii="黑体" w:hAnsi="黑体" w:eastAsia="黑体" w:cs="黑体"/>
          <w:color w:val="auto"/>
          <w:sz w:val="32"/>
          <w:szCs w:val="32"/>
        </w:rPr>
        <w:t>四、档案安全体系方向</w:t>
      </w:r>
    </w:p>
    <w:p w14:paraId="309875BA">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s="仿宋"/>
          <w:color w:val="auto"/>
          <w:sz w:val="32"/>
          <w:szCs w:val="32"/>
        </w:rPr>
      </w:pPr>
      <w:r>
        <w:rPr>
          <w:rFonts w:hint="eastAsia" w:ascii="Times New Roman" w:hAnsi="Times New Roman" w:eastAsia="仿宋" w:cs="仿宋"/>
          <w:color w:val="auto"/>
          <w:sz w:val="32"/>
          <w:szCs w:val="32"/>
        </w:rPr>
        <w:t>围绕档案实体安全与信息安全，重点研究档案数字化转型中的风险管理与应对策略，档案信息管理系统安全防护及智能化安全脱敏，不同载体档案保护技术和设备创新，档案馆库综合智能控制，传统载体档案数字化迁移中的安全管控，档案数字资源长期保存和安全备份策略及技术方案，档案数字资源备份体系建设，档案数据安全治理等方面开展研究。</w:t>
      </w:r>
    </w:p>
    <w:p w14:paraId="7AE0C13E">
      <w:pPr>
        <w:keepNext w:val="0"/>
        <w:keepLines w:val="0"/>
        <w:pageBreakBefore w:val="0"/>
        <w:widowControl/>
        <w:kinsoku/>
        <w:wordWrap w:val="0"/>
        <w:overflowPunct/>
        <w:topLinePunct/>
        <w:autoSpaceDE/>
        <w:autoSpaceDN/>
        <w:bidi w:val="0"/>
        <w:adjustRightInd w:val="0"/>
        <w:snapToGrid w:val="0"/>
        <w:spacing w:line="560" w:lineRule="exact"/>
        <w:ind w:firstLine="640" w:firstLineChars="200"/>
        <w:textAlignment w:val="baseline"/>
        <w:rPr>
          <w:rFonts w:hint="eastAsia" w:ascii="黑体" w:hAnsi="黑体" w:eastAsia="黑体" w:cs="黑体"/>
          <w:color w:val="auto"/>
          <w:sz w:val="32"/>
          <w:szCs w:val="32"/>
        </w:rPr>
      </w:pPr>
      <w:r>
        <w:rPr>
          <w:rFonts w:hint="eastAsia" w:ascii="黑体" w:hAnsi="黑体" w:eastAsia="黑体" w:cs="黑体"/>
          <w:color w:val="auto"/>
          <w:sz w:val="32"/>
          <w:szCs w:val="32"/>
        </w:rPr>
        <w:t>五、档案信息化建设方向</w:t>
      </w:r>
    </w:p>
    <w:p w14:paraId="3796E05A">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s="仿宋"/>
          <w:color w:val="auto"/>
          <w:sz w:val="32"/>
          <w:szCs w:val="32"/>
        </w:rPr>
      </w:pPr>
      <w:r>
        <w:rPr>
          <w:rFonts w:hint="eastAsia" w:ascii="Times New Roman" w:hAnsi="Times New Roman" w:eastAsia="仿宋" w:cs="仿宋"/>
          <w:color w:val="auto"/>
          <w:sz w:val="32"/>
          <w:szCs w:val="32"/>
        </w:rPr>
        <w:t>围绕“十五五”时期“以数字转型和智能升级为主攻方向”战略部署，重点研究人工智能等新一代信息技术在档案工作中的深化应用，面向改扩建需求的重大工程建设</w:t>
      </w:r>
      <w:r>
        <w:rPr>
          <w:rFonts w:hint="eastAsia" w:ascii="Times New Roman" w:hAnsi="Times New Roman" w:eastAsia="仿宋" w:cs="仿宋"/>
          <w:color w:val="auto"/>
          <w:sz w:val="32"/>
          <w:szCs w:val="32"/>
        </w:rPr>
        <w:t>项目档案数据治理及智能利用研究，数字档案馆(室)</w:t>
      </w:r>
      <w:r>
        <w:rPr>
          <w:rFonts w:hint="eastAsia" w:ascii="Times New Roman" w:hAnsi="Times New Roman" w:eastAsia="仿宋" w:cs="仿宋"/>
          <w:color w:val="auto"/>
          <w:sz w:val="32"/>
          <w:szCs w:val="32"/>
        </w:rPr>
        <w:t>建设优化升级，</w:t>
      </w:r>
      <w:r>
        <w:rPr>
          <w:rFonts w:hint="eastAsia" w:ascii="Times New Roman" w:hAnsi="Times New Roman" w:eastAsia="仿宋" w:cs="仿宋"/>
          <w:color w:val="auto"/>
          <w:sz w:val="32"/>
          <w:szCs w:val="32"/>
        </w:rPr>
        <w:t>电子文件单套归档与电子档案单套管理，声像档案和手写体档案智能识别与著录编目，档案数据治理技术方案，档案数据资源服务国家战略和区域发展的技术实现等方面开展研究。</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8AB0D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0"/>
      <w:szCs w:val="30"/>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5</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2026-07-14T06:24:24Z</dcterms:created>
  <dc:creator>DELL</dc:creator>
  <cp:lastModifiedBy>郭执玺</cp:lastModifiedBy>
  <dcterms:modified xsi:type="dcterms:W3CDTF">2026-07-14T06:29:54Z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eyJoZGlkIjoiODc3OWQ0ZDgzNmQ0ODE2MDU2ODEwOTg1MmIwMTczZDMiLCJ1c2VySWQiOiIzNTQ3NjgzMjMifQ==</vt:lpwstr>
  </property>
  <property fmtid="{D5CDD505-2E9C-101B-9397-08002B2CF9AE}" pid="4" name="ICV">
    <vt:lpwstr>F19EB8F5154F4D668738EAE18AEC4DFA_12</vt:lpwstr>
  </property>
</Properties>
</file>