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D96969">
      <w:pPr>
        <w:keepNext w:val="0"/>
        <w:keepLines w:val="0"/>
        <w:pageBreakBefore w:val="0"/>
        <w:widowControl w:val="0"/>
        <w:kinsoku/>
        <w:wordWrap/>
        <w:overflowPunct/>
        <w:topLinePunct w:val="0"/>
        <w:autoSpaceDE/>
        <w:autoSpaceDN/>
        <w:bidi w:val="0"/>
        <w:adjustRightInd/>
        <w:snapToGrid/>
        <w:jc w:val="center"/>
        <w:textAlignment w:val="auto"/>
        <w:rPr>
          <w:rFonts w:hint="eastAsia" w:ascii="黑体" w:hAnsi="黑体" w:eastAsia="黑体" w:cs="黑体"/>
          <w:sz w:val="44"/>
          <w:szCs w:val="44"/>
          <w:lang w:val="en-US" w:eastAsia="zh-CN"/>
        </w:rPr>
      </w:pPr>
      <w:r>
        <w:rPr>
          <w:rFonts w:hint="eastAsia" w:ascii="黑体" w:hAnsi="黑体" w:eastAsia="黑体" w:cs="黑体"/>
          <w:sz w:val="44"/>
          <w:szCs w:val="44"/>
        </w:rPr>
        <w:t>2026年度农业农村部软科学课题研究</w:t>
      </w:r>
      <w:r>
        <w:rPr>
          <w:rFonts w:hint="eastAsia" w:ascii="黑体" w:hAnsi="黑体" w:eastAsia="黑体" w:cs="黑体"/>
          <w:sz w:val="44"/>
          <w:szCs w:val="44"/>
          <w:lang w:val="en-US" w:eastAsia="zh-CN"/>
        </w:rPr>
        <w:t>目录</w:t>
      </w:r>
    </w:p>
    <w:p w14:paraId="604360D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1.今后十年粮食供需</w:t>
      </w:r>
      <w:bookmarkStart w:id="0" w:name="_GoBack"/>
      <w:bookmarkEnd w:id="0"/>
      <w:r>
        <w:rPr>
          <w:rFonts w:hint="eastAsia" w:ascii="仿宋" w:hAnsi="仿宋" w:eastAsia="仿宋" w:cs="仿宋"/>
          <w:sz w:val="32"/>
          <w:szCs w:val="32"/>
          <w:lang w:val="en-US" w:eastAsia="zh-CN"/>
        </w:rPr>
        <w:t xml:space="preserve">形势变化研究。分析研判今后十年我国粮食生产、消费、贸易等发展趋势，重点分析粮食消费变化与影响因素，研究提出适应消费趋势变化提升粮食产能、优化生产结构和区域布局等政策建议。 </w:t>
      </w:r>
    </w:p>
    <w:p w14:paraId="58292C7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2.“十五五”时期提升农业综合生产能力和质量效益研究。分析“十五五”时期面临的形势、问题，研究在稳定提升农业综合生产能力基础上，进一步提升质量效益的思路举措。 </w:t>
      </w:r>
    </w:p>
    <w:p w14:paraId="23997CB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3.促进粮食等重要农产品价格保持在合理水平研究。系统梳理粮食等重要农产品价格相关政策历史沿革和成效，重点研究稻谷、小麦、玉米、大豆、棉花、糖的价格形成机制、波动规律及影响因素，研究构建在保障粮食安全基础上，保障农民合理收益的长效稳价机制。 </w:t>
      </w:r>
    </w:p>
    <w:p w14:paraId="340E7DD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4.大豆发展战略研究。全面分析国内大豆生产、加工、消费、流通、国际贸易等全链条发展历程、现状与存在问题，研究提出促进我国大豆产业高质量发展的政策建议。</w:t>
      </w:r>
    </w:p>
    <w:p w14:paraId="1B1F972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5.培育乳制品消费习惯和支持政策研究。分析我国居民乳制品消费结构的新变化、新场景、新趋势，归纳以液态奶为代表的传统奶类消费、奶酪和稀奶油等为代表的新型奶类消费，以及学生饮用奶等特定供应人群和区域乳制品的消费规律，找准未来乳制品消费增长点，总结韩国等经验做法，探索培育乳制品消费习惯的方法路径，研究构建深加工布局、奶业养加一体化、市场推广与消费激励等全链条支持政策体系。 </w:t>
      </w:r>
    </w:p>
    <w:p w14:paraId="752492A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6.培育壮大农业科技领军企业支持政策研究。选取“龙头型、高速成长型、潜力型”农业科技领军企业各2—3家进行深入剖析，总结农业科技领军企业成长规律、制约瓶颈与核心需求，分析现有支持政策效能，提出进一步培育壮大农业科技领军企业的政策建议。 </w:t>
      </w:r>
    </w:p>
    <w:p w14:paraId="120F8B4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7.农业领域未来产业发展研究。系统梳理农业领域未来产业类型和发展趋势，分析我国农业领域未来产业发展基础与瓶颈制约，从构建全链条培育体系，建立投入增长和风险分担机制，探索多元技术路线、典型应用场景、可行商业模式、市场监管规则等方面，提出政策建议。 </w:t>
      </w:r>
    </w:p>
    <w:p w14:paraId="1DCF01D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8.分类有序、片区化推进乡村振兴研究。阐释片区化推进乡村振兴重大意义及理论内涵，分析总结典型地区片区化推进乡村振兴经验做法、模式机制，研究规划协同、利益共享、要素集成等创新机制，提出典型地区片区化推进乡村振兴的分类方法、片区划定原则与差异化策略等建议。 </w:t>
      </w:r>
    </w:p>
    <w:p w14:paraId="2B80727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9.统筹发展科技农业、绿色农业、质量农业、品牌农业研究。系统阐释科技农业、绿色农业、质量农业、品牌农业的内涵外延以及相互之间的逻辑关系，梳理发展历程、现状与瓶颈制约，借鉴国际经验，研究提出统筹发展的总体思路、战略布局、实践路径与政策举措。 </w:t>
      </w:r>
    </w:p>
    <w:p w14:paraId="335D3C3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10.把农业建成现代化大产业内涵和路径研究。阐释把农业建成现代化大产业的内涵要义，深入总结荷兰、新西兰等典型国家发展农业现代化大产业的经验做法和国内实践，剖析存在问题，立足发展阶段，研究提出把农业建成现代化大产业的方法路径与政策举措。 </w:t>
      </w:r>
    </w:p>
    <w:p w14:paraId="3523FFE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11.农村基本具备现代生活条件内涵与路径研究。深入分析农村基本具备现代生活条件的核心内涵与阶段性特征，剖析当前农村在实现现代生活条件中存在的短板瓶颈，探索贴合我国农村实际、兼顾区域差异、可落地的推进路径，提出评价指标体系和针对性的政策支撑措施。 </w:t>
      </w:r>
    </w:p>
    <w:p w14:paraId="653FB06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12.乡村人口变化对乡村发展影响与对策研究。立足城乡融合发展，系统分析我国乡村人口变化特征及趋势，深入研究乡村人口变化对乡村基础设施、公共服务、经营体系、治理模式等方面带来的影响，提出应对人口变化、促进乡村发展的政策建议。 </w:t>
      </w:r>
    </w:p>
    <w:p w14:paraId="3F0D510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13.乡村振兴“投资于人”实践路径研究。深刻阐释乡村振兴“投资于人”的现实意义与科学内涵，梳理相关政策的实施现状与成效，剖析存在问题和原因，从培育、引进、留住人才等全链条，提出乡村振兴“投资于人”的实践路径与政策建议。 </w:t>
      </w:r>
    </w:p>
    <w:p w14:paraId="413FF27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14.培育发展农创客、支持青年人才下乡研究。系统梳理总结典型省份激励青年人才在乡村创业的经验做法，深入剖析农创客等青年人才下乡在资金、技术、用地、服务、权益保障等方面的现实困境与迫切需求，提出因地制宜培育发展的具体路径和政策举措。 </w:t>
      </w:r>
    </w:p>
    <w:p w14:paraId="29DB7C4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15.新型农业经营主体联农带农机制研究。选取10—15个企业等不同类型和不同产业新型农业经营主体联农带农典型案例进行深入剖析，系统总结新型农业经营主体联农带农的经验做法、存在问题，研究联农带农效果评价办法和指标体系，提出完善联农带农效果与支持政策挂钩机制的政策建议。 </w:t>
      </w:r>
    </w:p>
    <w:p w14:paraId="5F36AA8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16.促进小农户和现代农业发展有机衔接研究。实地调研全国5省10县30个村农户经营现状，深入分析当前农户经营特征、发展趋势及面临的现实困境，研究现阶段小农户界定标准，提出进一步促进小农户和现代农业发展有机衔接的路径和政策建议。 </w:t>
      </w:r>
    </w:p>
    <w:p w14:paraId="258B55B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17.财政金融协同支农机制研究。分析我国现有财政支农和金融支农政策情况，梳理总结其他国家和国内典型地区、相关领域在推动财政金融协同方面的探索实践和成效经验，研究农业农村现代化过程中财政金融协同面临的问题和需求，提出加快财政金融协同的政策建议。 </w:t>
      </w:r>
    </w:p>
    <w:p w14:paraId="5F8211B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18.农业保险政策效能调查。选取3—5个农业大县开展农业保险政策实施情况调查，深入访谈小农户、新型农业经营主体、农业保险公司等，分析农业保险的现状和问题，评估政策效能，形成若干典型案例，研究提出完善农业保险政策体系、提升政策效能的对策建议。 </w:t>
      </w:r>
    </w:p>
    <w:p w14:paraId="3841C65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19.帮扶项目联农带农成效评价研究。聚焦产业帮扶项目，深入剖析30个产业帮扶项目联农带农典型案例，总结项目联农带农的成效和问题，研究提出联农带农成效评价指标体系，健全完善帮扶项目联农带农长效机制。 </w:t>
      </w:r>
    </w:p>
    <w:p w14:paraId="60A1FE5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20.重要农业文化遗产传承保护发展研究。通过对10—15个重要农业文化遗产的典型案例分析，总结在传承保护发展等方面的经验做法和问题，借鉴国际经验，提出进一步加强重要农业文化遗产传承保护发展的政策建议。 </w:t>
      </w:r>
    </w:p>
    <w:p w14:paraId="5952B74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A995D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1</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2026-04-01T00:52:00Z</dcterms:created>
  <dc:creator>DELL</dc:creator>
  <cp:lastModifiedBy>郭执玺</cp:lastModifiedBy>
  <dcterms:modified xsi:type="dcterms:W3CDTF">2026-04-01T00:54:27Z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eyJoZGlkIjoiZGQ2NGJiMGE3ZTY0NTdkN2JiNzQxZGI2NTg3ZjY5ZTMiLCJ1c2VySWQiOiIzNTQ3NjgzMjMifQ==</vt:lpwstr>
  </property>
  <property fmtid="{D5CDD505-2E9C-101B-9397-08002B2CF9AE}" pid="4" name="ICV">
    <vt:lpwstr>92550236CCD24CC4BE7C75ED325E5AC1_12</vt:lpwstr>
  </property>
</Properties>
</file>