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19EDC">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bookmarkStart w:id="0" w:name="_GoBack"/>
      <w:bookmarkEnd w:id="0"/>
    </w:p>
    <w:p w14:paraId="25F887CB">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一</w:t>
      </w:r>
      <w:r>
        <w:rPr>
          <w:rFonts w:hint="default" w:ascii="Times New Roman" w:hAnsi="Times New Roman" w:eastAsia="楷体_GB2312" w:cs="Times New Roman"/>
          <w:color w:val="auto"/>
          <w:spacing w:val="0"/>
          <w:kern w:val="0"/>
          <w:sz w:val="32"/>
          <w:szCs w:val="32"/>
          <w:lang w:val="en-US" w:eastAsia="zh-CN"/>
        </w:rPr>
        <w:t>）增强人工智能就业创造正面效应政策研究</w:t>
      </w:r>
    </w:p>
    <w:p w14:paraId="6CF69023">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研究梳理世界主要国家和国内相关地区释放人工智能就业红利的政策措施，包括但不限于人机协同标准、人工参与率、就业保障基金、岗位替代缓冲期、普遍基本收入、人工智能职业技能培训等，通过政策比较、政策实践以及案例分析等方式，研究提出符合我国实际的政策建议和政策储备，增强人工智能就业创造正面效应，助力构建就业友好型发展方式。</w:t>
      </w:r>
    </w:p>
    <w:p w14:paraId="1FAE5713">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二</w:t>
      </w:r>
      <w:r>
        <w:rPr>
          <w:rFonts w:hint="default" w:ascii="Times New Roman" w:hAnsi="Times New Roman" w:eastAsia="楷体_GB2312" w:cs="Times New Roman"/>
          <w:color w:val="auto"/>
          <w:spacing w:val="0"/>
          <w:kern w:val="0"/>
          <w:sz w:val="32"/>
          <w:szCs w:val="32"/>
          <w:lang w:val="en-US" w:eastAsia="zh-CN"/>
        </w:rPr>
        <w:t>）未来十年青年就业形势和应对举措研究</w:t>
      </w:r>
    </w:p>
    <w:p w14:paraId="38C2AD6E">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系统梳理全国青年就业工作现状，从人口结构变化、现代化产业体系建设、以人工智能为代表的技术变革、新型城镇化发展、外部环境变化等方面，研究分析未来十年经济社会发展对青年就业工作的影响。选取美国、欧盟、日本等国家和地区，研究其在促进青年就业方面的实践经验和启示。针对青年就业面临的形势和挑战，研究提出具有前瞻性和可操作性的应对举措。</w:t>
      </w:r>
    </w:p>
    <w:p w14:paraId="2C4A33FA">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三</w:t>
      </w:r>
      <w:r>
        <w:rPr>
          <w:rFonts w:hint="default" w:ascii="Times New Roman" w:hAnsi="Times New Roman" w:eastAsia="楷体_GB2312" w:cs="Times New Roman"/>
          <w:color w:val="auto"/>
          <w:spacing w:val="0"/>
          <w:kern w:val="0"/>
          <w:sz w:val="32"/>
          <w:szCs w:val="32"/>
          <w:lang w:val="en-US" w:eastAsia="zh-CN"/>
        </w:rPr>
        <w:t>）健全人力资源市场法规体系研究</w:t>
      </w:r>
    </w:p>
    <w:p w14:paraId="56FA9CBE">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以《人力资源市场暂行条例》为重点，系统梳理我国人力资源市场法规体系演进与现状、实施情况及成效，分析当前人力资源市场法规体系建设面临的新情况和存在的主要问题；对比分析世界主要国家和地区人力资源市场法规体系状况，总结可借鉴的经验；聚焦人力资源市场准入退出机制不够完善、市场活动规范相对滞后、经营主体信用管理措施不明确等主要问题，提出健全人力资源市场法规体系的实施路径与保障措施。</w:t>
      </w:r>
    </w:p>
    <w:p w14:paraId="6C9ABAFD">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四</w:t>
      </w:r>
      <w:r>
        <w:rPr>
          <w:rFonts w:hint="default" w:ascii="Times New Roman" w:hAnsi="Times New Roman" w:eastAsia="楷体_GB2312" w:cs="Times New Roman"/>
          <w:color w:val="auto"/>
          <w:spacing w:val="0"/>
          <w:kern w:val="0"/>
          <w:sz w:val="32"/>
          <w:szCs w:val="32"/>
          <w:lang w:val="en-US" w:eastAsia="zh-CN"/>
        </w:rPr>
        <w:t>）“十五五”及更长时间我国新型城镇化与人口老龄化对养老保险制度发展的影响及对策研究</w:t>
      </w:r>
    </w:p>
    <w:p w14:paraId="1C19C4B3">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分析预测当前到2050年我国人口老龄化、新型城镇化发展趋势以及城乡居民基本养老保险参保人员和基金收支情况，评估基金潜在风险和财政资金需求情况，分析研判人口老龄化、新型城镇化达到一定阈值后，城镇企业职工基本养老保险和城乡居民基本养老保险两大制度模式、管理体制和运行机制可能发生的变化，研提政策建议。其中，城镇企业职工基本养老保险应着重分析城镇化进程、人口迁移等方面差异对全国统筹调剂机制的影响；城乡居民基本养老保险应着重分析财政“补入口”和“补出口”资金结构变化情况。</w:t>
      </w:r>
    </w:p>
    <w:p w14:paraId="5B0F605A">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五</w:t>
      </w:r>
      <w:r>
        <w:rPr>
          <w:rFonts w:hint="default" w:ascii="Times New Roman" w:hAnsi="Times New Roman" w:eastAsia="楷体_GB2312" w:cs="Times New Roman"/>
          <w:color w:val="auto"/>
          <w:spacing w:val="0"/>
          <w:kern w:val="0"/>
          <w:sz w:val="32"/>
          <w:szCs w:val="32"/>
          <w:lang w:val="en-US" w:eastAsia="zh-CN"/>
        </w:rPr>
        <w:t>）落实投资于人要求，健全终身职业技能培训制度研究</w:t>
      </w:r>
    </w:p>
    <w:p w14:paraId="118745EF">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总结梳理我国职业技能培训行业整体发展现状、终身职业技能培训工作进展和经验成效，分析存在的问题和困难。重点</w:t>
      </w:r>
      <w:r>
        <w:rPr>
          <w:rFonts w:hint="eastAsia" w:ascii="Times New Roman" w:hAnsi="Times New Roman" w:eastAsia="仿宋_GB2312" w:cs="Times New Roman"/>
          <w:color w:val="auto"/>
          <w:kern w:val="0"/>
          <w:sz w:val="32"/>
          <w:szCs w:val="32"/>
          <w:lang w:eastAsia="zh-CN"/>
        </w:rPr>
        <w:t>是</w:t>
      </w:r>
      <w:r>
        <w:rPr>
          <w:rFonts w:hint="default" w:ascii="Times New Roman" w:hAnsi="Times New Roman" w:eastAsia="仿宋_GB2312" w:cs="Times New Roman"/>
          <w:color w:val="auto"/>
          <w:kern w:val="0"/>
          <w:sz w:val="32"/>
          <w:szCs w:val="32"/>
          <w:lang w:eastAsia="zh-CN"/>
        </w:rPr>
        <w:t>前瞻性</w:t>
      </w:r>
      <w:r>
        <w:rPr>
          <w:rFonts w:hint="default" w:ascii="Times New Roman" w:hAnsi="Times New Roman" w:eastAsia="仿宋_GB2312" w:cs="Times New Roman"/>
          <w:color w:val="auto"/>
          <w:kern w:val="0"/>
          <w:sz w:val="32"/>
          <w:szCs w:val="32"/>
          <w:highlight w:val="none"/>
          <w:lang w:eastAsia="zh-CN"/>
        </w:rPr>
        <w:t>分析未来</w:t>
      </w:r>
      <w:r>
        <w:rPr>
          <w:rFonts w:hint="eastAsia" w:ascii="Times New Roman" w:hAnsi="Times New Roman" w:eastAsia="仿宋_GB2312" w:cs="Times New Roman"/>
          <w:color w:val="auto"/>
          <w:kern w:val="0"/>
          <w:sz w:val="32"/>
          <w:szCs w:val="32"/>
          <w:highlight w:val="none"/>
          <w:lang w:eastAsia="zh-CN"/>
        </w:rPr>
        <w:t>产业、新兴产业</w:t>
      </w:r>
      <w:r>
        <w:rPr>
          <w:rFonts w:hint="default" w:ascii="Times New Roman" w:hAnsi="Times New Roman" w:eastAsia="仿宋_GB2312" w:cs="Times New Roman"/>
          <w:color w:val="auto"/>
          <w:kern w:val="0"/>
          <w:sz w:val="32"/>
          <w:szCs w:val="32"/>
          <w:highlight w:val="none"/>
          <w:lang w:eastAsia="zh-CN"/>
        </w:rPr>
        <w:t>对</w:t>
      </w:r>
      <w:r>
        <w:rPr>
          <w:rFonts w:hint="default" w:ascii="Times New Roman" w:hAnsi="Times New Roman" w:eastAsia="仿宋_GB2312" w:cs="Times New Roman"/>
          <w:color w:val="auto"/>
          <w:kern w:val="0"/>
          <w:sz w:val="32"/>
          <w:szCs w:val="32"/>
          <w:lang w:eastAsia="zh-CN"/>
        </w:rPr>
        <w:t>终身职业技能培训制度的</w:t>
      </w:r>
      <w:r>
        <w:rPr>
          <w:rFonts w:hint="eastAsia" w:ascii="Times New Roman" w:hAnsi="Times New Roman" w:eastAsia="仿宋_GB2312" w:cs="Times New Roman"/>
          <w:color w:val="auto"/>
          <w:kern w:val="0"/>
          <w:sz w:val="32"/>
          <w:szCs w:val="32"/>
          <w:lang w:eastAsia="zh-CN"/>
        </w:rPr>
        <w:t>影响等，</w:t>
      </w:r>
      <w:r>
        <w:rPr>
          <w:rFonts w:hint="default" w:ascii="Times New Roman" w:hAnsi="Times New Roman" w:eastAsia="仿宋_GB2312" w:cs="Times New Roman"/>
          <w:color w:val="auto"/>
          <w:spacing w:val="0"/>
          <w:kern w:val="0"/>
          <w:sz w:val="32"/>
          <w:szCs w:val="32"/>
          <w:lang w:val="en-US" w:eastAsia="zh-CN"/>
        </w:rPr>
        <w:t>研究如何促进职业培训、职业发展、技能增收紧密联动，健全多方参与、多元投入的具体措施，通过政府资金和项目带动企业和社会培训发展的有效路径，职业技能培训监管和评估指标，以及政策制度落地实施、精准找人，打通政策“最后一公里”的推进方式等。</w:t>
      </w:r>
    </w:p>
    <w:p w14:paraId="198C2E23">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highlight w:val="none"/>
          <w:lang w:val="en-US" w:eastAsia="zh-CN"/>
        </w:rPr>
      </w:pPr>
      <w:r>
        <w:rPr>
          <w:rFonts w:hint="default" w:ascii="Times New Roman" w:hAnsi="Times New Roman" w:eastAsia="楷体_GB2312" w:cs="Times New Roman"/>
          <w:color w:val="auto"/>
          <w:spacing w:val="0"/>
          <w:kern w:val="0"/>
          <w:sz w:val="32"/>
          <w:szCs w:val="32"/>
          <w:highlight w:val="none"/>
          <w:lang w:val="en-US" w:eastAsia="zh-CN"/>
        </w:rPr>
        <w:t>（</w:t>
      </w:r>
      <w:r>
        <w:rPr>
          <w:rFonts w:hint="eastAsia" w:ascii="Times New Roman" w:hAnsi="Times New Roman" w:eastAsia="楷体_GB2312" w:cs="Times New Roman"/>
          <w:color w:val="auto"/>
          <w:spacing w:val="0"/>
          <w:kern w:val="0"/>
          <w:sz w:val="32"/>
          <w:szCs w:val="32"/>
          <w:highlight w:val="none"/>
          <w:lang w:val="en-US" w:eastAsia="zh-CN"/>
        </w:rPr>
        <w:t>六</w:t>
      </w:r>
      <w:r>
        <w:rPr>
          <w:rFonts w:hint="default" w:ascii="Times New Roman" w:hAnsi="Times New Roman" w:eastAsia="楷体_GB2312" w:cs="Times New Roman"/>
          <w:color w:val="auto"/>
          <w:spacing w:val="0"/>
          <w:kern w:val="0"/>
          <w:sz w:val="32"/>
          <w:szCs w:val="32"/>
          <w:highlight w:val="none"/>
          <w:lang w:val="en-US" w:eastAsia="zh-CN"/>
        </w:rPr>
        <w:t>）生态文明建设背景下的绿色职业与技能开发研究</w:t>
      </w:r>
    </w:p>
    <w:p w14:paraId="6859AB74">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highlight w:val="none"/>
          <w:lang w:val="en-US" w:eastAsia="zh-CN"/>
        </w:rPr>
        <w:t>主要研究内容：</w:t>
      </w:r>
      <w:r>
        <w:rPr>
          <w:rFonts w:hint="default" w:ascii="Times New Roman" w:hAnsi="Times New Roman" w:eastAsia="仿宋_GB2312" w:cs="Times New Roman"/>
          <w:color w:val="auto"/>
          <w:spacing w:val="0"/>
          <w:kern w:val="0"/>
          <w:sz w:val="32"/>
          <w:szCs w:val="32"/>
          <w:highlight w:val="none"/>
          <w:lang w:val="en-US" w:eastAsia="zh-CN"/>
        </w:rPr>
        <w:t>研究有关国家和国际组织绿色职业与技能开发经验和成果，梳理绿色技能框架、分类标准与评价机制的核心做法。分析我国绿色职业与技能开发现状，识别存在的问题，阐明面向生态文明建设的我国绿色职业体系和绿色技能开发路径，构建通用绿色技能和专业绿色技能相结</w:t>
      </w:r>
      <w:r>
        <w:rPr>
          <w:rFonts w:hint="default" w:ascii="Times New Roman" w:hAnsi="Times New Roman" w:eastAsia="仿宋_GB2312" w:cs="Times New Roman"/>
          <w:color w:val="auto"/>
          <w:spacing w:val="0"/>
          <w:kern w:val="0"/>
          <w:sz w:val="32"/>
          <w:szCs w:val="32"/>
          <w:lang w:val="en-US" w:eastAsia="zh-CN"/>
        </w:rPr>
        <w:t>合、产教融合的职业（技工）教育体系，形成绿色技能人才培养培训指引和解决方案，制定典型职业、专业的绿色技能包。研提绿色技能人才队伍建设的政策建议，包括但不限于绿色职业认定机制、职业标准绿色化转型、绿色技能评价等。</w:t>
      </w:r>
    </w:p>
    <w:p w14:paraId="535853A2">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七</w:t>
      </w:r>
      <w:r>
        <w:rPr>
          <w:rFonts w:hint="default" w:ascii="Times New Roman" w:hAnsi="Times New Roman" w:eastAsia="楷体_GB2312" w:cs="Times New Roman"/>
          <w:color w:val="auto"/>
          <w:spacing w:val="0"/>
          <w:kern w:val="0"/>
          <w:sz w:val="32"/>
          <w:szCs w:val="32"/>
          <w:lang w:val="en-US" w:eastAsia="zh-CN"/>
        </w:rPr>
        <w:t>）人工智能赋能人才工作研究</w:t>
      </w:r>
    </w:p>
    <w:p w14:paraId="5BF6537E">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针对人才工作存在信息资源零散、响应需求变化反应慢、工作手段主要依赖人工等落后、粗放、低效问题，以整合利用人才信息资源、提高人才工作效率、推进人才工作逐渐由“人工”向“人工+智工”转变为目标，研究人工智能赋能人才工作的意义、目标、范围、内容、方式、要素保障等，重点研究人工智能应用人才工作场景，比如人才招聘、人才流动、人才学术技术能力评估、职业资格考试管理、继续教育课程更新、知识更新个性方案生成、快速响应产业和基层需求服务、人才信息（档案）管理等等，提出具体工作举措和行动建议，凝练一批典型应用场景和典型案例。</w:t>
      </w:r>
    </w:p>
    <w:p w14:paraId="7C601444">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八</w:t>
      </w:r>
      <w:r>
        <w:rPr>
          <w:rFonts w:hint="default" w:ascii="Times New Roman" w:hAnsi="Times New Roman" w:eastAsia="楷体_GB2312" w:cs="Times New Roman"/>
          <w:color w:val="auto"/>
          <w:spacing w:val="0"/>
          <w:kern w:val="0"/>
          <w:sz w:val="32"/>
          <w:szCs w:val="32"/>
          <w:lang w:val="en-US" w:eastAsia="zh-CN"/>
        </w:rPr>
        <w:t>）建立健全事业单位外国人才管理使用制度研究</w:t>
      </w:r>
    </w:p>
    <w:p w14:paraId="047271D3">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调研梳理当前不同地区、不同类别（教育、科研、文化、卫生等）事业单位在外国人才管理使用方面的现行做法、典型经验、工作成效和存在的突出问题，研究借鉴发达国家类似公立机构（如公立大学、国立科研机构、公共文化卫生组织等）管理使用外国人才方面的国际经验，在我国现行事业单位人事管理相关制度框架下，研究提出涵盖招聘引进、岗位晋升、考核评价、薪酬激励、离职退休、风险防控等全流程的事业单位外国人才管理使用政策举措和制度设计建议。</w:t>
      </w:r>
    </w:p>
    <w:p w14:paraId="7DD29662">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w:t>
      </w:r>
      <w:r>
        <w:rPr>
          <w:rFonts w:hint="eastAsia" w:ascii="Times New Roman" w:hAnsi="Times New Roman" w:eastAsia="楷体_GB2312" w:cs="Times New Roman"/>
          <w:color w:val="auto"/>
          <w:spacing w:val="0"/>
          <w:kern w:val="0"/>
          <w:sz w:val="32"/>
          <w:szCs w:val="32"/>
          <w:lang w:val="en-US" w:eastAsia="zh-CN"/>
        </w:rPr>
        <w:t>九</w:t>
      </w:r>
      <w:r>
        <w:rPr>
          <w:rFonts w:hint="default" w:ascii="Times New Roman" w:hAnsi="Times New Roman" w:eastAsia="楷体_GB2312" w:cs="Times New Roman"/>
          <w:color w:val="auto"/>
          <w:spacing w:val="0"/>
          <w:kern w:val="0"/>
          <w:sz w:val="32"/>
          <w:szCs w:val="32"/>
          <w:lang w:val="en-US" w:eastAsia="zh-CN"/>
        </w:rPr>
        <w:t>）中国劳动科学自主知识体系基本架构研究</w:t>
      </w:r>
    </w:p>
    <w:p w14:paraId="06A7484E">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ab/>
      </w:r>
      <w:r>
        <w:rPr>
          <w:rFonts w:hint="default" w:ascii="Times New Roman" w:hAnsi="Times New Roman" w:eastAsia="仿宋_GB2312" w:cs="Times New Roman"/>
          <w:color w:val="auto"/>
          <w:spacing w:val="0"/>
          <w:kern w:val="0"/>
          <w:sz w:val="32"/>
          <w:szCs w:val="32"/>
          <w:lang w:val="en-US" w:eastAsia="zh-CN"/>
        </w:rPr>
        <w:t>深化劳动理论创新，系统梳理习近平总书记关于劳动领域的重要论述并进行深入阐释；研究马克思主义劳动理论的当代价值，探讨共同富裕语境下的劳动理论创新；研究建构中国劳动科学自主知识体系的总体框架、具体内容，并阐明其内在的逻辑关系。</w:t>
      </w:r>
    </w:p>
    <w:p w14:paraId="43D75C30">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（十）人工智能挑战下的劳动关系问题研究</w:t>
      </w:r>
    </w:p>
    <w:p w14:paraId="1D192198">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综合梳理人工智能应用的主要行业和应用场景，研究分析人工智能对企业用工规模、用工形式及管理方式、考核标准带来的影响，对劳动者工作内容、工作方式的影响，以及由此带来的相关主体权利义务关系的变化，分析研判人工智能应用对构建和谐劳动关系带来的现实和潜在挑战，研究探索智能化监测、自动化决策等智能程序参与企业劳动管理的边界，提出加强休息权、隐私权、劳动规则知情权和参与权，以及完善劳动基准的法律政策和政府监管建议。</w:t>
      </w:r>
    </w:p>
    <w:p w14:paraId="08E7FEEC">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（十</w:t>
      </w:r>
      <w:r>
        <w:rPr>
          <w:rFonts w:hint="eastAsia" w:ascii="Times New Roman" w:hAnsi="Times New Roman" w:eastAsia="楷体_GB2312" w:cs="Times New Roman"/>
          <w:color w:val="auto"/>
          <w:spacing w:val="0"/>
          <w:kern w:val="0"/>
          <w:sz w:val="32"/>
          <w:szCs w:val="32"/>
          <w:lang w:val="en-US" w:eastAsia="zh-CN"/>
        </w:rPr>
        <w:t>一</w:t>
      </w:r>
      <w:r>
        <w:rPr>
          <w:rFonts w:hint="default" w:ascii="Times New Roman" w:hAnsi="Times New Roman" w:eastAsia="楷体_GB2312" w:cs="Times New Roman"/>
          <w:color w:val="auto"/>
          <w:spacing w:val="0"/>
          <w:kern w:val="0"/>
          <w:sz w:val="32"/>
          <w:szCs w:val="32"/>
          <w:lang w:val="en-US" w:eastAsia="zh-CN"/>
        </w:rPr>
        <w:t>）健全最低工资立法若干重大问题研究</w:t>
      </w:r>
    </w:p>
    <w:p w14:paraId="2F5C5528">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梳理总结国外最低工资立法情况（包括有关国家最低工资制度的功能定位、保障范围，最低工资标准的口径、制定和调整程序，最低工资制度落实监督机制、法律责任等），系统分析当前我国最低工资制度存在的主要问题，着眼适应共同富裕发展要求，适应新业态发展和就业形式变化趋势，从完善功能定位、根据就业形式变化拓展最低工资适用范围、完善最低工资标准调整机制、改进最低工资标准测算办法等方面提出建设性意见建议。</w:t>
      </w:r>
    </w:p>
    <w:p w14:paraId="0B3DC488">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（十</w:t>
      </w:r>
      <w:r>
        <w:rPr>
          <w:rFonts w:hint="eastAsia" w:ascii="Times New Roman" w:hAnsi="Times New Roman" w:eastAsia="楷体_GB2312" w:cs="Times New Roman"/>
          <w:color w:val="auto"/>
          <w:spacing w:val="0"/>
          <w:kern w:val="0"/>
          <w:sz w:val="32"/>
          <w:szCs w:val="32"/>
          <w:lang w:val="en-US" w:eastAsia="zh-CN"/>
        </w:rPr>
        <w:t>二</w:t>
      </w:r>
      <w:r>
        <w:rPr>
          <w:rFonts w:hint="default" w:ascii="Times New Roman" w:hAnsi="Times New Roman" w:eastAsia="楷体_GB2312" w:cs="Times New Roman"/>
          <w:color w:val="auto"/>
          <w:spacing w:val="0"/>
          <w:kern w:val="0"/>
          <w:sz w:val="32"/>
          <w:szCs w:val="32"/>
          <w:lang w:val="en-US" w:eastAsia="zh-CN"/>
        </w:rPr>
        <w:t>）农村劳动力流动与基层治理问题研究</w:t>
      </w:r>
    </w:p>
    <w:p w14:paraId="3648431C">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总结分析农村劳动力流动的现状、特点与未来趋势，科学评估当前大规模农村劳动力流动背景下基层治理的现状、问题和短板；围绕基层治理与解决农民工急难愁盼问题，梳理总结国内典型地区有关经验做法，研究提出拓展农民工参与治理的途径和方式，以及适应农村劳动力流动的基层治理现代化的有效路径和政策建议。</w:t>
      </w:r>
    </w:p>
    <w:p w14:paraId="37C684FE">
      <w:pPr>
        <w:keepNext w:val="0"/>
        <w:keepLines w:val="0"/>
        <w:pageBreakBefore w:val="0"/>
        <w:widowControl w:val="0"/>
        <w:kinsoku/>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楷体_GB2312" w:cs="Times New Roman"/>
          <w:color w:val="auto"/>
          <w:spacing w:val="0"/>
          <w:kern w:val="0"/>
          <w:sz w:val="32"/>
          <w:szCs w:val="32"/>
          <w:lang w:val="en-US" w:eastAsia="zh-CN"/>
        </w:rPr>
      </w:pPr>
      <w:r>
        <w:rPr>
          <w:rFonts w:hint="default" w:ascii="Times New Roman" w:hAnsi="Times New Roman" w:eastAsia="楷体_GB2312" w:cs="Times New Roman"/>
          <w:color w:val="auto"/>
          <w:spacing w:val="0"/>
          <w:kern w:val="0"/>
          <w:sz w:val="32"/>
          <w:szCs w:val="32"/>
          <w:lang w:val="en-US" w:eastAsia="zh-CN"/>
        </w:rPr>
        <w:t>（十</w:t>
      </w:r>
      <w:r>
        <w:rPr>
          <w:rFonts w:hint="eastAsia" w:ascii="Times New Roman" w:hAnsi="Times New Roman" w:eastAsia="楷体_GB2312" w:cs="Times New Roman"/>
          <w:color w:val="auto"/>
          <w:spacing w:val="0"/>
          <w:kern w:val="0"/>
          <w:sz w:val="32"/>
          <w:szCs w:val="32"/>
          <w:lang w:val="en-US" w:eastAsia="zh-CN"/>
        </w:rPr>
        <w:t>三</w:t>
      </w:r>
      <w:r>
        <w:rPr>
          <w:rFonts w:hint="default" w:ascii="Times New Roman" w:hAnsi="Times New Roman" w:eastAsia="楷体_GB2312" w:cs="Times New Roman"/>
          <w:color w:val="auto"/>
          <w:spacing w:val="0"/>
          <w:kern w:val="0"/>
          <w:sz w:val="32"/>
          <w:szCs w:val="32"/>
          <w:lang w:val="en-US" w:eastAsia="zh-CN"/>
        </w:rPr>
        <w:t>）中资企业境外用工法律风险防控与我国公民境外劳动权益保障研究</w:t>
      </w:r>
    </w:p>
    <w:p w14:paraId="476E29F0">
      <w:pPr>
        <w:keepNext w:val="0"/>
        <w:keepLines w:val="0"/>
        <w:pageBreakBefore w:val="0"/>
        <w:widowControl w:val="0"/>
        <w:kinsoku/>
        <w:wordWrap/>
        <w:overflowPunct w:val="0"/>
        <w:topLinePunct w:val="0"/>
        <w:autoSpaceDE/>
        <w:autoSpaceDN/>
        <w:bidi w:val="0"/>
        <w:adjustRightInd/>
        <w:snapToGrid/>
        <w:spacing w:line="600" w:lineRule="exact"/>
        <w:ind w:firstLine="643" w:firstLineChars="200"/>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bCs/>
          <w:color w:val="auto"/>
          <w:spacing w:val="0"/>
          <w:kern w:val="0"/>
          <w:sz w:val="32"/>
          <w:szCs w:val="32"/>
          <w:lang w:val="en-US" w:eastAsia="zh-CN"/>
        </w:rPr>
        <w:t>主要研究内容：</w:t>
      </w:r>
      <w:r>
        <w:rPr>
          <w:rFonts w:hint="default" w:ascii="Times New Roman" w:hAnsi="Times New Roman" w:eastAsia="仿宋_GB2312" w:cs="Times New Roman"/>
          <w:color w:val="auto"/>
          <w:spacing w:val="0"/>
          <w:kern w:val="0"/>
          <w:sz w:val="32"/>
          <w:szCs w:val="32"/>
          <w:lang w:val="en-US" w:eastAsia="zh-CN"/>
        </w:rPr>
        <w:t>系统梳理中资企业境外用工法律风险类型与我国公民境外劳动权益保障面临的主要问题和困难，分析境内外劳动法律在劳动标准及争议解决机制方面存在的跨境差异及典型案例，借鉴其他国家经验，研究提出我国在加强中资企业境外用工法律风险防控与我国公民境外劳动权益保障方面的对策建议，探索提出加强涉外法治建设、完善境内外劳动法律政策衔接、我国劳动法律域外适用和跨境劳动争议解决途径的基本思路和有效路径。</w:t>
      </w:r>
    </w:p>
    <w:p w14:paraId="62B6BD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1B6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widowControl w:val="0"/>
      <w:ind w:firstLine="420"/>
    </w:pPr>
    <w:rPr>
      <w:rFonts w:ascii="Calibri" w:hAnsi="Calibri" w:eastAsia="宋体" w:cs="Times New Roman"/>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2026-03-30T01:08:28Z</dcterms:created>
  <dc:creator>DELL</dc:creator>
  <cp:lastModifiedBy>郭执玺</cp:lastModifiedBy>
  <dcterms:modified xsi:type="dcterms:W3CDTF">2026-03-30T01:11:24Z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eyJoZGlkIjoiZGQ2NGJiMGE3ZTY0NTdkN2JiNzQxZGI2NTg3ZjY5ZTMiLCJ1c2VySWQiOiIzNTQ3NjgzMjMifQ==</vt:lpwstr>
  </property>
  <property fmtid="{D5CDD505-2E9C-101B-9397-08002B2CF9AE}" pid="4" name="ICV">
    <vt:lpwstr>37FCA88F3A914F1FB99546B1C0FEACAC_12</vt:lpwstr>
  </property>
</Properties>
</file>