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EFD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eastAsiaTheme="minorEastAsia"/>
          <w:b/>
          <w:bCs/>
          <w:color w:val="D82821"/>
          <w:sz w:val="28"/>
          <w:szCs w:val="28"/>
          <w:bdr w:val="none" w:color="auto" w:sz="0" w:space="0"/>
          <w:lang w:eastAsia="zh-CN"/>
        </w:rPr>
      </w:pPr>
      <w:r>
        <w:rPr>
          <w:b/>
          <w:bCs/>
          <w:color w:val="D82821"/>
          <w:sz w:val="28"/>
          <w:szCs w:val="28"/>
          <w:bdr w:val="none" w:color="auto" w:sz="0" w:space="0"/>
        </w:rPr>
        <w:t>参考选题</w:t>
      </w:r>
    </w:p>
    <w:p w14:paraId="041D12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2026年度最高人民检察院检察理论研究课题参考选题如下（共65项。申请人可根据</w:t>
      </w:r>
      <w:bookmarkStart w:id="0" w:name="_GoBack"/>
      <w:bookmarkEnd w:id="0"/>
      <w:r>
        <w:rPr>
          <w:sz w:val="28"/>
          <w:szCs w:val="28"/>
          <w:bdr w:val="none" w:color="auto" w:sz="0" w:space="0"/>
        </w:rPr>
        <w:t>选题内容自行选择申报重大课题、一般课题、青年课题类型）：</w:t>
      </w:r>
    </w:p>
    <w:p w14:paraId="4CF476E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color w:val="D82821"/>
          <w:sz w:val="28"/>
          <w:szCs w:val="28"/>
          <w:bdr w:val="none" w:color="auto" w:sz="0" w:space="0"/>
          <w:lang w:eastAsia="zh-CN"/>
        </w:rPr>
      </w:pPr>
      <w:r>
        <w:rPr>
          <w:color w:val="D82821"/>
          <w:sz w:val="28"/>
          <w:szCs w:val="28"/>
          <w:bdr w:val="none" w:color="auto" w:sz="0" w:space="0"/>
        </w:rPr>
        <w:t>（一）以习近平法治思想为指引，学习贯彻落实党的二十届四中全会精神研究</w:t>
      </w:r>
    </w:p>
    <w:p w14:paraId="5EADD4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1.在习近平法治思想引领下强化检察监督研究</w:t>
      </w:r>
    </w:p>
    <w:p w14:paraId="1B49328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2.生态环境法典实施背景下完善生态环境检察制度机制研究</w:t>
      </w:r>
    </w:p>
    <w:p w14:paraId="52FAD5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3.检察公益诉讼立法保障与配套机制研究</w:t>
      </w:r>
    </w:p>
    <w:p w14:paraId="6EED47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4.健全反制裁、反干涉、反“长臂管辖”的检察工作机制研究</w:t>
      </w:r>
    </w:p>
    <w:p w14:paraId="46ECBF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5.检察机关加强网络空间法治建设研究</w:t>
      </w:r>
    </w:p>
    <w:p w14:paraId="232F14F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6.检察机关协同健全涉企执法长效机制研究</w:t>
      </w:r>
    </w:p>
    <w:p w14:paraId="53F7545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7.监狱法修订背景下提升刑罚执行质效的检察监督研究</w:t>
      </w:r>
    </w:p>
    <w:p w14:paraId="54764E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8.检察机关协同强化未成年人犯罪预防和治理研究</w:t>
      </w:r>
    </w:p>
    <w:p w14:paraId="7A0BA7C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9.数字检察的创新理念与规范路径研究</w:t>
      </w:r>
    </w:p>
    <w:p w14:paraId="1E291D7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10.检察机关完善司法公正实现和评价机制研究</w:t>
      </w:r>
    </w:p>
    <w:p w14:paraId="6C5CBE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color w:val="D82821"/>
          <w:sz w:val="28"/>
          <w:szCs w:val="28"/>
          <w:bdr w:val="none" w:color="auto" w:sz="0" w:space="0"/>
          <w:lang w:eastAsia="zh-CN"/>
        </w:rPr>
      </w:pPr>
      <w:r>
        <w:rPr>
          <w:color w:val="D82821"/>
          <w:sz w:val="28"/>
          <w:szCs w:val="28"/>
          <w:bdr w:val="none" w:color="auto" w:sz="0" w:space="0"/>
        </w:rPr>
        <w:t>（二）推进中国检察学教材体系建设研究</w:t>
      </w:r>
    </w:p>
    <w:p w14:paraId="73AD7F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11.“刑事检察学”专著教材建设</w:t>
      </w:r>
    </w:p>
    <w:p w14:paraId="609603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12.“民事检察学”专著教材建设</w:t>
      </w:r>
    </w:p>
    <w:p w14:paraId="475B1E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13.“行政检察学”专著教材建设</w:t>
      </w:r>
    </w:p>
    <w:p w14:paraId="6E0008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14.“公益诉讼检察学”专著教材建设</w:t>
      </w:r>
    </w:p>
    <w:p w14:paraId="2F0EF0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15.“未成年人检察学”专著教材建设</w:t>
      </w:r>
    </w:p>
    <w:p w14:paraId="3012C5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color w:val="D82821"/>
          <w:sz w:val="28"/>
          <w:szCs w:val="28"/>
          <w:bdr w:val="none" w:color="auto" w:sz="0" w:space="0"/>
          <w:lang w:eastAsia="zh-CN"/>
        </w:rPr>
      </w:pPr>
      <w:r>
        <w:rPr>
          <w:color w:val="D82821"/>
          <w:sz w:val="28"/>
          <w:szCs w:val="28"/>
          <w:bdr w:val="none" w:color="auto" w:sz="0" w:space="0"/>
        </w:rPr>
        <w:t>（三）构建高质效办案制度机制体系研究</w:t>
      </w:r>
    </w:p>
    <w:p w14:paraId="7CF05F3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16.高质效办案的法律制度体系研究</w:t>
      </w:r>
    </w:p>
    <w:p w14:paraId="79B6CE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17.高质效办案的评价标准体系研究</w:t>
      </w:r>
    </w:p>
    <w:p w14:paraId="40138BC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18.高质效办案的操作规范体系研究</w:t>
      </w:r>
    </w:p>
    <w:p w14:paraId="4B7E1A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19.高质效办案的科学管理体系研究</w:t>
      </w:r>
    </w:p>
    <w:p w14:paraId="1D2F3D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20.高质效办案的责任落实体系研究</w:t>
      </w:r>
    </w:p>
    <w:p w14:paraId="6588B4D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color w:val="D82821"/>
          <w:sz w:val="28"/>
          <w:szCs w:val="28"/>
          <w:bdr w:val="none" w:color="auto" w:sz="0" w:space="0"/>
          <w:lang w:eastAsia="zh-CN"/>
        </w:rPr>
      </w:pPr>
      <w:r>
        <w:rPr>
          <w:color w:val="D82821"/>
          <w:sz w:val="28"/>
          <w:szCs w:val="28"/>
          <w:bdr w:val="none" w:color="auto" w:sz="0" w:space="0"/>
        </w:rPr>
        <w:t>（四）高质效检察履职服务大局研究</w:t>
      </w:r>
    </w:p>
    <w:p w14:paraId="32F68E1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21.军地检察协作机制研究</w:t>
      </w:r>
    </w:p>
    <w:p w14:paraId="028B7F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22.常见多发犯罪的依法梯次治理体系研究</w:t>
      </w:r>
    </w:p>
    <w:p w14:paraId="14B60C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23.新型网络赌博犯罪规制研究</w:t>
      </w:r>
    </w:p>
    <w:p w14:paraId="1320A27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24.资产分享背景下我国反腐败境外追赃路径完善</w:t>
      </w:r>
    </w:p>
    <w:p w14:paraId="39EF312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25.走私案件管辖机制完善研究</w:t>
      </w:r>
    </w:p>
    <w:p w14:paraId="5D5E5B8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26.检察机关全链条打击金融“黑灰产”研究</w:t>
      </w:r>
    </w:p>
    <w:p w14:paraId="5A1C61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27.检察机关依法惩治新型复杂洗钱犯罪研究</w:t>
      </w:r>
    </w:p>
    <w:p w14:paraId="4C1EEE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28.检察机关依法惩治涉私募基金犯罪研究</w:t>
      </w:r>
    </w:p>
    <w:p w14:paraId="733EA1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29.生成式人工智能涉罪认定与规制研究</w:t>
      </w:r>
    </w:p>
    <w:p w14:paraId="4D9215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30.深化知识产权恶意诉讼检察监督机制研究</w:t>
      </w:r>
    </w:p>
    <w:p w14:paraId="493CDA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31.涉外网络犯罪案件刑事诉讼程序适用研究</w:t>
      </w:r>
    </w:p>
    <w:p w14:paraId="24C0EAD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32.跨区域生态检察协作模式创新研究</w:t>
      </w:r>
    </w:p>
    <w:p w14:paraId="2B36B2F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33.未成年人个人信息保护检察公益诉讼问题研究</w:t>
      </w:r>
    </w:p>
    <w:p w14:paraId="3CC289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34.老年人犯罪预防与社会治理研究</w:t>
      </w:r>
    </w:p>
    <w:p w14:paraId="7F6841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35.加强劳动者合法权益司法保护研究</w:t>
      </w:r>
    </w:p>
    <w:p w14:paraId="0CBB84C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36.社会治理检察建议法治化发展研究</w:t>
      </w:r>
    </w:p>
    <w:p w14:paraId="36E6703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37.中非经贸合作中的检察履职服务研究</w:t>
      </w:r>
    </w:p>
    <w:p w14:paraId="0A9CD7E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color w:val="D82821"/>
          <w:sz w:val="28"/>
          <w:szCs w:val="28"/>
          <w:bdr w:val="none" w:color="auto" w:sz="0" w:space="0"/>
          <w:lang w:eastAsia="zh-CN"/>
        </w:rPr>
      </w:pPr>
      <w:r>
        <w:rPr>
          <w:color w:val="D82821"/>
          <w:sz w:val="28"/>
          <w:szCs w:val="28"/>
          <w:bdr w:val="none" w:color="auto" w:sz="0" w:space="0"/>
        </w:rPr>
        <w:t>（五）依法履行法律监督职责研究</w:t>
      </w:r>
    </w:p>
    <w:p w14:paraId="50008E9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38.认罪认罚自愿性、真实性保障研究</w:t>
      </w:r>
    </w:p>
    <w:p w14:paraId="7DA86B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39.捕诉标准、捕诉衔接优化研究</w:t>
      </w:r>
    </w:p>
    <w:p w14:paraId="6FDA06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40.审查起诉质效分析实证研究</w:t>
      </w:r>
    </w:p>
    <w:p w14:paraId="3574201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41.刑事抗诉条件和标准细化研究</w:t>
      </w:r>
    </w:p>
    <w:p w14:paraId="16B67AC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42.检察机关推动治理刑事“挂案”长效机制研究</w:t>
      </w:r>
    </w:p>
    <w:p w14:paraId="0CE8DE6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43.加强刑罚交付执行全流程监督研究</w:t>
      </w:r>
    </w:p>
    <w:p w14:paraId="79E17A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44.刑事裁判涉财产部分执行监督研究</w:t>
      </w:r>
    </w:p>
    <w:p w14:paraId="1E5F16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45.社区矫正法律监督研究</w:t>
      </w:r>
    </w:p>
    <w:p w14:paraId="7419BB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46.检察机关大数据侦查运行模式研究</w:t>
      </w:r>
    </w:p>
    <w:p w14:paraId="24A48B5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47.民法典与民事检察监督相关问题研究</w:t>
      </w:r>
    </w:p>
    <w:p w14:paraId="6E4613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48.完善民事再审检察建议案件办理机制研究</w:t>
      </w:r>
    </w:p>
    <w:p w14:paraId="601DB3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49.检察机关深化涉民事终结本次执行程序监督研究</w:t>
      </w:r>
    </w:p>
    <w:p w14:paraId="355656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50.虚假诉讼认定标准与检察监督程序优化研究</w:t>
      </w:r>
    </w:p>
    <w:p w14:paraId="43EA12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51.重点罪名行刑反向衔接问题研究</w:t>
      </w:r>
    </w:p>
    <w:p w14:paraId="5F6866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52.行政诉讼“程序空转”问题检察监督研究</w:t>
      </w:r>
    </w:p>
    <w:p w14:paraId="60FC10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53.关联行政违法行为检察监督研究</w:t>
      </w:r>
    </w:p>
    <w:p w14:paraId="4E28EE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54.行政生效裁判监督与行政再审案件衔接机制研究</w:t>
      </w:r>
    </w:p>
    <w:p w14:paraId="255B99E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55.检察公益诉讼法定领域办案实证研究</w:t>
      </w:r>
    </w:p>
    <w:p w14:paraId="203BBBE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56.行政公益诉讼检察履职边界研究</w:t>
      </w:r>
    </w:p>
    <w:p w14:paraId="4E0E120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57.健全反向审视成果运用保障机制研究</w:t>
      </w:r>
    </w:p>
    <w:p w14:paraId="2F4C81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58.律师执业权利保障检察监督研究</w:t>
      </w:r>
    </w:p>
    <w:p w14:paraId="3C6DAE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color w:val="D82821"/>
          <w:sz w:val="28"/>
          <w:szCs w:val="28"/>
          <w:bdr w:val="none" w:color="auto" w:sz="0" w:space="0"/>
          <w:lang w:eastAsia="zh-CN"/>
        </w:rPr>
      </w:pPr>
      <w:r>
        <w:rPr>
          <w:color w:val="D82821"/>
          <w:sz w:val="28"/>
          <w:szCs w:val="28"/>
          <w:bdr w:val="none" w:color="auto" w:sz="0" w:space="0"/>
        </w:rPr>
        <w:t>（六）强化检察机关自身建设研究</w:t>
      </w:r>
    </w:p>
    <w:p w14:paraId="2EAA80B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59.中华优秀传统法律文化检察传承研究</w:t>
      </w:r>
    </w:p>
    <w:p w14:paraId="794D385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60.检察机关党建与业务深度融合研究</w:t>
      </w:r>
    </w:p>
    <w:p w14:paraId="35824B3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61.检务督察业务职能研究</w:t>
      </w:r>
    </w:p>
    <w:p w14:paraId="2CA3B6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62.检察机关集中管辖机制研究</w:t>
      </w:r>
    </w:p>
    <w:p w14:paraId="324FBFE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63.检察编制与员额跨域统筹使用与管理机制研究</w:t>
      </w:r>
    </w:p>
    <w:p w14:paraId="2702EB1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64.基层检察院分类指导和科学评价机制研究</w:t>
      </w:r>
    </w:p>
    <w:p w14:paraId="76D5A2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  <w:r>
        <w:rPr>
          <w:sz w:val="28"/>
          <w:szCs w:val="28"/>
          <w:bdr w:val="none" w:color="auto" w:sz="0" w:space="0"/>
        </w:rPr>
        <w:t>65.基层检察院“全科检察官”培养机制研究</w:t>
      </w:r>
    </w:p>
    <w:p w14:paraId="6BAC4E1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eastAsiaTheme="minorEastAsia"/>
          <w:sz w:val="28"/>
          <w:szCs w:val="28"/>
          <w:bdr w:val="none" w:color="auto" w:sz="0" w:space="0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395AED"/>
    <w:rsid w:val="0639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2026-04-03T00:58:00Z</dcterms:created>
  <dc:creator>郭执玺</dc:creator>
  <cp:lastModifiedBy>郭执玺</cp:lastModifiedBy>
  <dcterms:modified xsi:type="dcterms:W3CDTF">2026-04-03T01:00:08Z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0780B471929E48CD88D6D8D990CFC604_11</vt:lpwstr>
  </property>
  <property fmtid="{D5CDD505-2E9C-101B-9397-08002B2CF9AE}" pid="4" name="KSOTemplateDocerSaveRecord">
    <vt:lpwstr>eyJoZGlkIjoiODc3OWQ0ZDgzNmQ0ODE2MDU2ODEwOTg1MmIwMTczZDMiLCJ1c2VySWQiOiIzNTQ3NjgzMjMifQ==</vt:lpwstr>
  </property>
</Properties>
</file>