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4EC61">
      <w:pPr>
        <w:keepNext w:val="0"/>
        <w:keepLines w:val="0"/>
        <w:pageBreakBefore w:val="0"/>
        <w:kinsoku/>
        <w:wordWrap/>
        <w:overflowPunct/>
        <w:topLinePunct w:val="0"/>
        <w:autoSpaceDE/>
        <w:autoSpaceDN/>
        <w:bidi w:val="0"/>
        <w:adjustRightInd/>
        <w:snapToGrid/>
        <w:spacing w:after="157" w:afterLines="50" w:line="240" w:lineRule="auto"/>
        <w:jc w:val="center"/>
        <w:textAlignment w:val="auto"/>
        <w:outlineLvl w:val="9"/>
        <w:rPr>
          <w:rFonts w:hint="eastAsia" w:ascii="黑体" w:hAnsi="黑体" w:eastAsia="黑体" w:cs="黑体"/>
          <w:b/>
          <w:bCs/>
          <w:color w:val="auto"/>
          <w:sz w:val="44"/>
          <w:szCs w:val="44"/>
          <w:lang w:val="en-US" w:eastAsia="zh-CN"/>
        </w:rPr>
      </w:pPr>
      <w:r>
        <w:rPr>
          <w:rFonts w:hint="eastAsia" w:ascii="黑体" w:hAnsi="黑体" w:eastAsia="黑体" w:cs="黑体"/>
          <w:b/>
          <w:bCs/>
          <w:color w:val="auto"/>
          <w:sz w:val="44"/>
          <w:szCs w:val="44"/>
          <w:lang w:val="en-US" w:eastAsia="zh-CN"/>
        </w:rPr>
        <w:t>国家发展改革委各司局申报课题指南</w:t>
      </w:r>
    </w:p>
    <w:p w14:paraId="5679AC4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643" w:firstLineChars="200"/>
        <w:jc w:val="left"/>
        <w:textAlignment w:val="auto"/>
        <w:outlineLvl w:val="9"/>
        <w:rPr>
          <w:rFonts w:hint="eastAsia" w:ascii="黑体" w:hAnsi="黑体" w:eastAsia="黑体" w:cs="黑体"/>
          <w:b/>
          <w:bCs/>
          <w:i w:val="0"/>
          <w:iCs w:val="0"/>
          <w:caps w:val="0"/>
          <w:color w:val="auto"/>
          <w:spacing w:val="0"/>
          <w:sz w:val="32"/>
          <w:szCs w:val="32"/>
          <w:bdr w:val="none" w:color="auto" w:sz="0" w:space="0"/>
        </w:rPr>
      </w:pPr>
      <w:r>
        <w:rPr>
          <w:rFonts w:hint="eastAsia" w:ascii="黑体" w:hAnsi="黑体" w:eastAsia="黑体" w:cs="黑体"/>
          <w:b/>
          <w:bCs/>
          <w:i w:val="0"/>
          <w:iCs w:val="0"/>
          <w:caps w:val="0"/>
          <w:color w:val="auto"/>
          <w:spacing w:val="0"/>
          <w:sz w:val="32"/>
          <w:szCs w:val="32"/>
          <w:bdr w:val="none" w:color="auto" w:sz="0" w:space="0"/>
        </w:rPr>
        <w:t>财政金融和信用建设司课题委托研究</w:t>
      </w:r>
    </w:p>
    <w:p w14:paraId="66504B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研究题目：</w:t>
      </w:r>
      <w:r>
        <w:rPr>
          <w:rFonts w:hint="eastAsia" w:ascii="宋体" w:hAnsi="宋体" w:eastAsia="宋体" w:cs="宋体"/>
          <w:i w:val="0"/>
          <w:iCs w:val="0"/>
          <w:caps w:val="0"/>
          <w:color w:val="auto"/>
          <w:spacing w:val="0"/>
          <w:sz w:val="24"/>
          <w:szCs w:val="24"/>
          <w:bdr w:val="none" w:color="auto" w:sz="0" w:space="0"/>
        </w:rPr>
        <w:t>关于健全信用承诺制度的理论与实践研究</w:t>
      </w:r>
    </w:p>
    <w:p w14:paraId="39700A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研究要点：</w:t>
      </w:r>
      <w:r>
        <w:rPr>
          <w:rFonts w:hint="eastAsia" w:ascii="宋体" w:hAnsi="宋体" w:eastAsia="宋体" w:cs="宋体"/>
          <w:i w:val="0"/>
          <w:iCs w:val="0"/>
          <w:caps w:val="0"/>
          <w:color w:val="auto"/>
          <w:spacing w:val="0"/>
          <w:sz w:val="24"/>
          <w:szCs w:val="24"/>
          <w:bdr w:val="none" w:color="auto" w:sz="0" w:space="0"/>
        </w:rPr>
        <w:t>信用承诺是社会信用体系的一项重要制度安排，在行政管理和市场活动中均有着广泛应用。该课题应从理论层面对信用承诺制度进行全面梳理总结，并研究信用承诺在经济社会发展中的可应用场景，探索如何建立信用承诺践诺、兑诺的闭环管理机制，从而优化营商环境，激发市场活力。</w:t>
      </w:r>
    </w:p>
    <w:p w14:paraId="0F3971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bdr w:val="none" w:color="auto" w:sz="0" w:space="0"/>
          <w:lang w:eastAsia="zh-CN"/>
        </w:rPr>
      </w:pPr>
      <w:r>
        <w:rPr>
          <w:rFonts w:hint="eastAsia" w:ascii="宋体" w:hAnsi="宋体" w:eastAsia="宋体" w:cs="宋体"/>
          <w:i w:val="0"/>
          <w:iCs w:val="0"/>
          <w:caps w:val="0"/>
          <w:color w:val="auto"/>
          <w:spacing w:val="0"/>
          <w:sz w:val="24"/>
          <w:szCs w:val="24"/>
          <w:bdr w:val="none" w:color="auto" w:sz="0" w:space="0"/>
        </w:rPr>
        <w:t>咨询电话：010-68502227</w:t>
      </w:r>
    </w:p>
    <w:p w14:paraId="576E0B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643" w:firstLineChars="200"/>
        <w:jc w:val="left"/>
        <w:textAlignment w:val="auto"/>
        <w:outlineLvl w:val="9"/>
        <w:rPr>
          <w:rFonts w:hint="eastAsia" w:ascii="黑体" w:hAnsi="黑体" w:eastAsia="黑体" w:cs="黑体"/>
          <w:b/>
          <w:bCs/>
          <w:i w:val="0"/>
          <w:iCs w:val="0"/>
          <w:caps w:val="0"/>
          <w:color w:val="auto"/>
          <w:spacing w:val="0"/>
          <w:sz w:val="32"/>
          <w:szCs w:val="32"/>
        </w:rPr>
      </w:pPr>
      <w:r>
        <w:rPr>
          <w:rFonts w:hint="eastAsia" w:ascii="黑体" w:hAnsi="黑体" w:eastAsia="黑体" w:cs="黑体"/>
          <w:b/>
          <w:bCs/>
          <w:i w:val="0"/>
          <w:iCs w:val="0"/>
          <w:caps w:val="0"/>
          <w:color w:val="auto"/>
          <w:spacing w:val="0"/>
          <w:sz w:val="32"/>
          <w:szCs w:val="32"/>
        </w:rPr>
        <w:t>区域协调发展司2026年度研究课题</w:t>
      </w:r>
    </w:p>
    <w:p w14:paraId="71450B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（一）我国人口结构变化对区域协调发展的影响与对策研究</w:t>
      </w:r>
    </w:p>
    <w:p w14:paraId="564E0F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从区域视角梳理研判我国人口变化趋势，深入分析人口变化对区域经济发展的影响机理和传导路径，以及对促进区域协调发展的影响，谋划提出完善与人口结构变化和区域流动趋势相适应的区域政策体系的方向路径，前瞻性提出政策建议。</w:t>
      </w:r>
    </w:p>
    <w:p w14:paraId="3F5191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咨询电话：010-68501771</w:t>
      </w:r>
    </w:p>
    <w:p w14:paraId="3CA424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（二）加强主要海湾整体规划推动海洋经济高质量发展重大问题研究</w:t>
      </w:r>
    </w:p>
    <w:p w14:paraId="28FE94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贯彻落实中央经济工作会议关于加强主要海湾整体规划、推动海洋经济高质量发展的决策部署，梳理我国主要海湾基本情况，分析在当前的国际国内形势下，主要海湾和主要沿海港口城市面临的困难问题，重点从港口优化整合、陆海通道建设、产业协同发展、生态环境保护、促进港产城融合发展等方面提出加强主要海湾整体规划的思路建议，在完善海洋经济体制机制、做强做优做大海洋产业、加快海运高质量发展、深度参与全球海洋合作等重点领域提出政策建议。</w:t>
      </w:r>
    </w:p>
    <w:p w14:paraId="235894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咨询电话：010-68502078</w:t>
      </w:r>
    </w:p>
    <w:p w14:paraId="01F955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（三）推动我国海岛高质量发展和高水平保护重大问题研究</w:t>
      </w:r>
    </w:p>
    <w:p w14:paraId="6D27B0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贯彻落实“十五五”规划《纲要》关于健全海岛开发保护管理体系、分类有序推进海岛发展的重要部署，梳理分析世界海洋大国保护开发利用海岛的整体思路和经验启示，系统总结我国海岛保护开发利用的主要成效和面临问题，综合分析我国不同类型海岛生态、经济、社会、海洋权益等方面的功能定位和比较优势，研究提出科学划分海岛类型并明确差异化管控要求，统筹海岛高质量发展和高水平保护的基本思路和政策举措建议。</w:t>
      </w:r>
    </w:p>
    <w:p w14:paraId="1DDCE1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咨询电话：010-68502952</w:t>
      </w:r>
    </w:p>
    <w:p w14:paraId="0F60F6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（四）支持县域特色产业发展重点任务举措研究</w:t>
      </w:r>
    </w:p>
    <w:p w14:paraId="108A72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研究要点：贯彻落实党的二十届四中全会关于发展各具特色的县域经济的重要部署，梳理我国县域产业发展的历史脉络，深入分析当前面临的新形势新情况，研究提出促进各地县域特色产业发展的政策举措建议。</w:t>
      </w:r>
    </w:p>
    <w:p w14:paraId="567DBD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咨询电话：010-68501756</w:t>
      </w:r>
    </w:p>
    <w:p w14:paraId="147FD4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（五）“十五五”时期推动东北地区区位资源优势转化为发展成效的思路和举措研究</w:t>
      </w:r>
    </w:p>
    <w:p w14:paraId="741F74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坚持问题导向和目标导向，梳理东北地区资源禀赋现状和优势，分析资源优势转化为经济效益的堵点卡点，结合国内外形势和“十五五”时期阶段性特征，研究提出推动东北资源优势、生态优势、科研优势、产业优势、区位优势转化为发展新动能新优势的基本思路、具体举措和政策建议。</w:t>
      </w:r>
    </w:p>
    <w:p w14:paraId="1AF4ED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咨询电话：010-68501790</w:t>
      </w:r>
    </w:p>
    <w:p w14:paraId="7B1654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（六）中部地区加快建设内陆开放高地问题研究</w:t>
      </w:r>
    </w:p>
    <w:p w14:paraId="514A23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结合中部地区“三基地一枢纽”战略定位，研究分析中部地区扩大高水平对外开放、加快建设内陆开放高地的现状特征、问题挑战、影响因素等，提出通过完善现代化基础设施建设支撑打造内陆开放高地的总体思路、主要任务和改革举措。</w:t>
      </w:r>
    </w:p>
    <w:p w14:paraId="1370FF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咨询电话：010-68501707</w:t>
      </w:r>
    </w:p>
    <w:p w14:paraId="141250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（七）优化完善雄安新区管理运行机制问题研究</w:t>
      </w:r>
    </w:p>
    <w:p w14:paraId="06D79C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研究要点：牢牢把握雄安新区作为北京非首都功能疏解集中承载地的首要功能定位，一体推进高质量建设和高效能治理，提出优化完善雄安新区管理体制和运行机制的政策建议和实施路径。</w:t>
      </w:r>
    </w:p>
    <w:p w14:paraId="13D301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咨询电话：010-68501274</w:t>
      </w:r>
    </w:p>
    <w:p w14:paraId="47DD3E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（八）粤港澳大湾区建设国际科技创新中心问题研究</w:t>
      </w:r>
    </w:p>
    <w:p w14:paraId="54E054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系统梳理粤港澳大湾区建设国际科创中心的现实基础、进展成效，深入分析国际国内形势及新一轮科技革命和产业变革对大湾区科技创新与产业创新带来的机遇和挑战，研究分析大湾区国际科创中心建设面临的困难问题，有针对性地提出增强大湾区科技创新策源能力、抢占国际科技竞争制高点的对策建议。</w:t>
      </w:r>
    </w:p>
    <w:p w14:paraId="4D8115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咨询电话：010-68502242</w:t>
      </w:r>
    </w:p>
    <w:p w14:paraId="4DD6F2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（九）提升海南自由贸易港对外开放水平问题研究</w:t>
      </w:r>
    </w:p>
    <w:p w14:paraId="175266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贯彻落实党的二十届四中全会关于高标准建设海南自贸港的重要部署，深入分析“十五五”时期海南自贸港建设面临的国内外环境变化和新形势新任务，围绕更好推动全岛封关政策落地见效、培育发展现代化产业体系、建立健全更加灵活高效的监管模式和管理体制等，研究提出提升海南自贸港对外开放水平的对策建议。</w:t>
      </w:r>
    </w:p>
    <w:p w14:paraId="72E22F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咨询电话：010-68502021</w:t>
      </w:r>
    </w:p>
    <w:p w14:paraId="15F137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（十）长江经济带破解“化工围江”效果评估及推动沿江化工绿色低碳转型路径研究</w:t>
      </w:r>
    </w:p>
    <w:p w14:paraId="38A813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梳理评估长江经济带破解“化工围江”已出台政策的实施效果，分析存在的问题，在长江生态环境保护硬约束、科技创新和产业创新融合新形势、绿色低碳发展新要求等多因素叠加的背景下，研究提出推动沿江化工绿色低碳转型、助力长江生态环境高水平保护的路径及具体政策建议。</w:t>
      </w:r>
    </w:p>
    <w:p w14:paraId="4172CF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咨询电话：010-68502497</w:t>
      </w:r>
    </w:p>
    <w:p w14:paraId="3F5B42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（十一）优化黄河流域产业布局、协同推动重点产业绿色转型升级研究</w:t>
      </w:r>
    </w:p>
    <w:p w14:paraId="2BF311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对黄河流域传统产业、新兴产业进行梳理，形成重点产业链图谱。针对列入图谱中的产业链，深入分析转型升级面临的主要制约因素，从区域、行业、安全、绿色等多角度，围绕加强产业基础设施统筹规划、优化区域产业链布局、促进优势产业链创新链集成融合发展、产业发展中严守生态保护红线和水安全底线等方面提出有针对性的发展思路和重点任务。</w:t>
      </w:r>
    </w:p>
    <w:p w14:paraId="543E81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咨询电话：010-68502955</w:t>
      </w:r>
    </w:p>
    <w:p w14:paraId="53D656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（十二）拓展流域经济新模式研究</w:t>
      </w:r>
    </w:p>
    <w:p w14:paraId="477611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贯彻落实党的二十届四中全会关于拓展流域经济模式的重要部署，在系统分析我国流域经济发展现状、存在问题、面临形势的基础上，明晰流域经济的概念内涵和基本特征，并结合我国流域经济发展的阶段性特征和内在规律，研究提出拓展流域经济模式的基本思路、主要任务和改革举措。</w:t>
      </w:r>
    </w:p>
    <w:p w14:paraId="2243EF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咨询电话：010-68501292</w:t>
      </w:r>
    </w:p>
    <w:p w14:paraId="382D40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（十三）推动国内产业梯度有序转移的监测分析和政策举措研究</w:t>
      </w:r>
    </w:p>
    <w:p w14:paraId="6358A4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贯彻落实党的二十届四中全会关于优化产业布局、促进重点产业在国内有序转移的重要部署，监测分析产业转移的新情况新形势，研究提出未来一段时间推动产业梯度转移、优化产业布局的政策举措建议。</w:t>
      </w:r>
    </w:p>
    <w:p w14:paraId="3780E5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咨询电话：010-68501718</w:t>
      </w:r>
    </w:p>
    <w:p w14:paraId="4E4B9E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（十四）未来一个时期完善区域创新体系研究</w:t>
      </w:r>
    </w:p>
    <w:p w14:paraId="231E82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围绕当前科技和产业变革、区域科技创新及科技成果转化等方面的新情况新形势，梳理国内外区域创新体系实践，分析其发展特征、主要问题、影响因素和未来趋势，提出提升区域科技创新效能的政策举措，为促进因地制宜发展新质生产力，制定差异化的区域支持政策提供参考。</w:t>
      </w:r>
    </w:p>
    <w:p w14:paraId="6ABF536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bdr w:val="none" w:color="auto" w:sz="0" w:space="0"/>
          <w:lang w:eastAsia="zh-CN"/>
        </w:rPr>
      </w:pPr>
      <w:r>
        <w:rPr>
          <w:rFonts w:hint="eastAsia" w:ascii="宋体" w:hAnsi="宋体" w:eastAsia="宋体" w:cs="宋体"/>
          <w:i w:val="0"/>
          <w:iCs w:val="0"/>
          <w:caps w:val="0"/>
          <w:color w:val="auto"/>
          <w:spacing w:val="0"/>
          <w:sz w:val="24"/>
          <w:szCs w:val="24"/>
          <w:bdr w:val="none" w:color="auto" w:sz="0" w:space="0"/>
        </w:rPr>
        <w:t>咨询电话：010-68501707</w:t>
      </w:r>
    </w:p>
    <w:p w14:paraId="3A26019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643" w:firstLineChars="200"/>
        <w:jc w:val="left"/>
        <w:textAlignment w:val="auto"/>
        <w:outlineLvl w:val="9"/>
        <w:rPr>
          <w:rFonts w:hint="eastAsia" w:ascii="黑体" w:hAnsi="黑体" w:eastAsia="黑体" w:cs="黑体"/>
          <w:b/>
          <w:bCs/>
          <w:i w:val="0"/>
          <w:iCs w:val="0"/>
          <w:caps w:val="0"/>
          <w:color w:val="auto"/>
          <w:spacing w:val="0"/>
          <w:sz w:val="32"/>
          <w:szCs w:val="32"/>
        </w:rPr>
      </w:pPr>
      <w:r>
        <w:rPr>
          <w:rFonts w:hint="eastAsia" w:ascii="黑体" w:hAnsi="黑体" w:eastAsia="黑体" w:cs="黑体"/>
          <w:b/>
          <w:bCs/>
          <w:i w:val="0"/>
          <w:iCs w:val="0"/>
          <w:caps w:val="0"/>
          <w:color w:val="auto"/>
          <w:spacing w:val="0"/>
          <w:sz w:val="32"/>
          <w:szCs w:val="32"/>
        </w:rPr>
        <w:t>就业收入分配和消费司2026年度研究课题</w:t>
      </w:r>
    </w:p>
    <w:p w14:paraId="3EEA7B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（一）构建就业友好型发展方式支撑体系研究</w:t>
      </w:r>
    </w:p>
    <w:p w14:paraId="03F99AC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中共中央关于制定国民经济和社会发展第十五个五年规划的建议》提出“构建就业友好型发展方式”。要深入研究就业友好型发展方式的理论基础、内涵特征及其现实表现，系统梳理国内外关于就业友好型发展方式的理念、制度和实践，全面剖析影响就业友好型发展方式构建的问题、挑战及其具体案例，研究提出构建就业友好型发展方式的基本原则、基本思路、落实机制和实施路径、支撑体系等。</w:t>
      </w:r>
    </w:p>
    <w:p w14:paraId="18C3182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（二）完善促进技高者多得的收入分配机制研究</w:t>
      </w:r>
    </w:p>
    <w:p w14:paraId="021A727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党的二十届四中全会明确提出，促进多劳者多得、技高者多得、创新者多得。整理目前我国提高技能人才待遇，构建技能导向薪酬分配制度的政策措施，简要评估实施成效。梳理总结国际上促进技高者多得的经验做法。在深入调研基础上，结合数据和案例，分析当前我国技术要素参与收入分配的主要形式、变化趋势和促进技高者多得需要解决的主要问题，并针对性提出政策举措建议。</w:t>
      </w:r>
    </w:p>
    <w:p w14:paraId="0DC7E43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（三）促进城乡居民增收政策举措研究</w:t>
      </w:r>
    </w:p>
    <w:p w14:paraId="7595BB7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充分结合国内外政治、经济、技术、人口等条件新变化，分析研判当前居民增收面临的新形势，预测不同情形下居民增收情况和政策目标，整理目前我国促进城乡居民增收的政策措施，简要评估实施成效。梳理总结国际上促进居民增收经验做法。在深入调研基础上，结合数据和案例，提出“十五五”时期制定实施城乡居民增收计划需要解决的主要问题，针对性提出政策举措建议。</w:t>
      </w:r>
    </w:p>
    <w:p w14:paraId="369D183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（四）“体验经济”等消费增长新空间与务实举措研究</w:t>
      </w:r>
    </w:p>
    <w:p w14:paraId="74AE1F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结合当前发展阶段探索“体验经济”等消费增长新空间，深入分析消费发展新趋势、新特征，以及“体验经济”等“十五五”时期有广阔发展潜力的消费新业态新模式，明确其内涵范围，做好相应规模测算，并提出促进相关领域消费提升的针对性政策举措。</w:t>
      </w:r>
    </w:p>
    <w:p w14:paraId="68471B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rPr>
        <w:t>（五）清理优化消费领域限制性措施研究</w:t>
      </w:r>
    </w:p>
    <w:p w14:paraId="432842A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党中央、国务院高度重视清理优化消费不合理限制性措施工作。党的二十届四中全会明确提出“清理汽车、住房等消费不合理限制性措施”，国务院常务会议也对相关工作作出部署要求。请系统梳理当前消费领域的限制性措施，特别是针对住房汽车、文化旅游、新型消费、消费环境等重点领域，梳理具体表现、存在原因、涉及政策，并提出清理优化的政策举措和意见建议。</w:t>
      </w:r>
    </w:p>
    <w:p w14:paraId="5E1C800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b/>
          <w:bCs/>
          <w:color w:val="auto"/>
          <w:sz w:val="24"/>
          <w:szCs w:val="24"/>
          <w:lang w:eastAsia="zh-CN"/>
        </w:rPr>
      </w:pPr>
      <w:bookmarkStart w:id="0" w:name="_GoBack"/>
      <w:r>
        <w:rPr>
          <w:rFonts w:hint="eastAsia" w:ascii="宋体" w:hAnsi="宋体" w:eastAsia="宋体" w:cs="宋体"/>
          <w:b/>
          <w:bCs/>
          <w:color w:val="auto"/>
          <w:sz w:val="24"/>
          <w:szCs w:val="24"/>
        </w:rPr>
        <w:t>（六）支持劳动密集型企业减负纾困政策研究</w:t>
      </w:r>
    </w:p>
    <w:bookmarkEnd w:id="0"/>
    <w:p w14:paraId="7BD568D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深入分析当前劳动密集型企业（包括住宿餐饮、批发零售、纺织服装、家政、建筑、传统制造等行业企业）发展面临的内外部形势和困难问题，梳理现有相关扶持政策的实施效果及存在短板，结合实际研究提出社保、金融、财税、用地、用能、人才等一揽子支持企业减负纾困的政策建议，促进劳动密集型企业健康持续发展、稳岗扩就业，形成相关研究报告，为有效减轻企业负担、稳定和增加就业岗位提供理论依据和政策思路。</w:t>
      </w:r>
    </w:p>
    <w:p w14:paraId="651C3F4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643" w:firstLineChars="200"/>
        <w:jc w:val="left"/>
        <w:textAlignment w:val="auto"/>
        <w:outlineLvl w:val="9"/>
        <w:rPr>
          <w:rFonts w:hint="eastAsia" w:ascii="黑体" w:hAnsi="黑体" w:eastAsia="黑体" w:cs="黑体"/>
          <w:b/>
          <w:bCs/>
          <w:i w:val="0"/>
          <w:iCs w:val="0"/>
          <w:caps w:val="0"/>
          <w:color w:val="auto"/>
          <w:spacing w:val="0"/>
          <w:sz w:val="32"/>
          <w:szCs w:val="32"/>
        </w:rPr>
      </w:pPr>
      <w:r>
        <w:rPr>
          <w:rFonts w:hint="eastAsia" w:ascii="黑体" w:hAnsi="黑体" w:eastAsia="黑体" w:cs="黑体"/>
          <w:b/>
          <w:bCs/>
          <w:i w:val="0"/>
          <w:iCs w:val="0"/>
          <w:caps w:val="0"/>
          <w:color w:val="auto"/>
          <w:spacing w:val="0"/>
          <w:sz w:val="32"/>
          <w:szCs w:val="32"/>
        </w:rPr>
        <w:t>体制改革综合司2026年研究课题</w:t>
      </w:r>
    </w:p>
    <w:p w14:paraId="22D74D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bdr w:val="none" w:color="auto" w:sz="0" w:space="0"/>
          <w:lang w:eastAsia="zh-CN"/>
        </w:rPr>
      </w:pPr>
      <w:r>
        <w:rPr>
          <w:rFonts w:hint="eastAsia" w:ascii="宋体" w:hAnsi="宋体" w:eastAsia="宋体" w:cs="宋体"/>
          <w:i w:val="0"/>
          <w:iCs w:val="0"/>
          <w:caps w:val="0"/>
          <w:color w:val="auto"/>
          <w:spacing w:val="0"/>
          <w:sz w:val="24"/>
          <w:szCs w:val="24"/>
          <w:bdr w:val="none" w:color="auto" w:sz="0" w:space="0"/>
        </w:rPr>
        <w:t>课题申报单位必须坚决拥护党的领导，增强“四个意识”、坚定“四个自信”、做到“两个维护”，遵守法律法规和各项纪律规定。课题研究要以习近平新时代中国特色社会主义思想为指导，坚持问题导向和目标导向，研究形成务实有用的成果，切实提高研究质量，深化研究成果转化应用。课题申报单位要根据自身优势精心组建课题组，鼓励组成跨领域、跨学科的专家团队联合研究。为确保集中精力开展研究，每位负责人只能申报一个课题。</w:t>
      </w:r>
    </w:p>
    <w:p w14:paraId="76C6E3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（一）优化新业态新领域市场准入环境重大问题研究</w:t>
      </w:r>
    </w:p>
    <w:p w14:paraId="1A4C47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党的二十届三中全会作出“优化新业态新领域市场准入环境”的重大部署，落实有关会议精神，聚焦深海、航天、航空、生命健康、新型能源、人工智能、自主可信计算、信息安全、智慧轨道交通、现代种业以及其他新业态新领域深入研究，主要包括：分析相关领域当前存在的市场准入问题，按照标准引领、场景开放、市场推动、产业聚焦、体系升级的原则和路径，分领域提出优化市场准入环境的政策建议。</w:t>
      </w:r>
    </w:p>
    <w:p w14:paraId="16A837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咨询电话：010-68505831</w:t>
      </w:r>
    </w:p>
    <w:p w14:paraId="00C304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（二）新型生产要素配置与支撑经济发展研究</w:t>
      </w:r>
    </w:p>
    <w:p w14:paraId="5C7A97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近年来，随着新质生产力发展和要素市场化改革持续深入，在五大要素之外一些新型生产要素进入实践之中（例如空天、深海、频谱轨道等），并呈现出很多有别于传统要素的新特征，要素配置方面也面临很多新情况。《国务院关于全国部分地区要素市场化配置综合改革试点实施方案的批复》明确提出，支持试点地区围绕探索新型要素配置方式，开展差异化改革探索。落实文件要求，围绕新型生产要素配置面临的新情况开展研究，主要包括：新型生产要素配置共性和个性特征、新型生产要素配置方式、支撑经济发展的路径与政策建议，提出具体改革方向和重点任务，为深化要素市场化改革提供支撑。</w:t>
      </w:r>
    </w:p>
    <w:p w14:paraId="77E1A3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咨询电话：010-68505831</w:t>
      </w:r>
    </w:p>
    <w:p w14:paraId="68CA15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（三）完善跨省跨区电力交易制度研究</w:t>
      </w:r>
    </w:p>
    <w:p w14:paraId="13DA08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落实《国务院办公厅关于完善全国统一电力市场体系的实施意见》文件要求，围绕破除阻碍电力资源全国大循环卡点堵点、完善跨省跨区电力交易制度进行深入研究，主要包括：系统梳理我国跨省跨区电力交易及国际类似交易模式的运行情况和存在问题，重点就跨省跨区电力交易与省内交易的衔接机制，跨省跨区交易品种设置、主体准入及价格机制等提出有针对性的意见建议和可操作的工作举措。</w:t>
      </w:r>
    </w:p>
    <w:p w14:paraId="522231C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bdr w:val="none" w:color="auto" w:sz="0" w:space="0"/>
          <w:lang w:eastAsia="zh-CN"/>
        </w:rPr>
      </w:pPr>
      <w:r>
        <w:rPr>
          <w:rFonts w:hint="eastAsia" w:ascii="宋体" w:hAnsi="宋体" w:eastAsia="宋体" w:cs="宋体"/>
          <w:i w:val="0"/>
          <w:iCs w:val="0"/>
          <w:caps w:val="0"/>
          <w:color w:val="auto"/>
          <w:spacing w:val="0"/>
          <w:sz w:val="24"/>
          <w:szCs w:val="24"/>
          <w:bdr w:val="none" w:color="auto" w:sz="0" w:space="0"/>
        </w:rPr>
        <w:t>咨询电话：010-68505505</w:t>
      </w:r>
    </w:p>
    <w:p w14:paraId="547159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643" w:firstLineChars="200"/>
        <w:jc w:val="left"/>
        <w:textAlignment w:val="auto"/>
        <w:outlineLvl w:val="9"/>
        <w:rPr>
          <w:rFonts w:hint="eastAsia" w:ascii="黑体" w:hAnsi="黑体" w:eastAsia="黑体" w:cs="黑体"/>
          <w:b/>
          <w:bCs/>
          <w:i w:val="0"/>
          <w:iCs w:val="0"/>
          <w:caps w:val="0"/>
          <w:color w:val="auto"/>
          <w:spacing w:val="0"/>
          <w:sz w:val="32"/>
          <w:szCs w:val="32"/>
        </w:rPr>
      </w:pPr>
      <w:r>
        <w:rPr>
          <w:rFonts w:hint="eastAsia" w:ascii="黑体" w:hAnsi="黑体" w:eastAsia="黑体" w:cs="黑体"/>
          <w:b/>
          <w:bCs/>
          <w:i w:val="0"/>
          <w:iCs w:val="0"/>
          <w:caps w:val="0"/>
          <w:color w:val="auto"/>
          <w:spacing w:val="0"/>
          <w:sz w:val="32"/>
          <w:szCs w:val="32"/>
        </w:rPr>
        <w:t>社会发展司2026年度研究课题</w:t>
      </w:r>
    </w:p>
    <w:p w14:paraId="708D27C3">
      <w:pPr>
        <w:keepNext w:val="0"/>
        <w:keepLines w:val="0"/>
        <w:pageBreakBefore w:val="0"/>
        <w:kinsoku/>
        <w:wordWrap/>
        <w:overflowPunct/>
        <w:topLinePunct w:val="0"/>
        <w:autoSpaceDE/>
        <w:autoSpaceDN/>
        <w:bidi w:val="0"/>
        <w:adjustRightInd/>
        <w:snapToGrid/>
        <w:spacing w:after="157" w:afterLines="50" w:line="240" w:lineRule="auto"/>
        <w:ind w:firstLine="482" w:firstLineChars="200"/>
        <w:jc w:val="left"/>
        <w:textAlignment w:val="auto"/>
        <w:outlineLvl w:val="9"/>
        <w:rPr>
          <w:rFonts w:hint="default" w:ascii="宋体" w:hAnsi="宋体" w:eastAsia="宋体" w:cs="宋体"/>
          <w:b/>
          <w:bCs/>
          <w:i w:val="0"/>
          <w:iCs w:val="0"/>
          <w:caps w:val="0"/>
          <w:color w:val="auto"/>
          <w:spacing w:val="0"/>
          <w:sz w:val="24"/>
          <w:szCs w:val="24"/>
          <w:lang w:val="en-US" w:eastAsia="zh-CN"/>
        </w:rPr>
      </w:pPr>
      <w:r>
        <w:rPr>
          <w:rFonts w:hint="eastAsia" w:ascii="宋体" w:hAnsi="宋体" w:eastAsia="宋体" w:cs="宋体"/>
          <w:b/>
          <w:bCs/>
          <w:i w:val="0"/>
          <w:iCs w:val="0"/>
          <w:caps w:val="0"/>
          <w:color w:val="auto"/>
          <w:spacing w:val="0"/>
          <w:sz w:val="24"/>
          <w:szCs w:val="24"/>
          <w:lang w:val="en-US" w:eastAsia="zh-CN"/>
        </w:rPr>
        <w:t>一、研究课题要求</w:t>
      </w:r>
    </w:p>
    <w:p w14:paraId="19B12A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一）研究课题要以习近平新时代中国特色社会主义思想为指导，全面贯彻党的二十大及二十届历次全会精神，完整准确全面贯彻新发展理念，正确认识和准确把握党中央和国务院决策部署，紧密围绕新时代新征程加强和创新社会建设，坚持以人民为中心的发展思想，聚焦委托课题研究重点和关键点，深化重大问题研究，提交有深度、高质量的课题研究报告。</w:t>
      </w:r>
    </w:p>
    <w:p w14:paraId="63FDB8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二）研究课题要突出改革思维和创新思路，坚持目标导向、问题导向，立足国情社情民情，创新研究方式，完善评估评价体系，深入开展实地调研，梳理当前及今后一段时期社会发展形势现状、面临新情况新问题，研究提出下一步发展思路、主要目标、政策框架、重点任务及对策建议。</w:t>
      </w:r>
    </w:p>
    <w:p w14:paraId="7DEED2F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（三）研究课题要形成高质量的课题报告、研究成果要有前瞻性、预判性，符合客观实际，政策建议更具针对性、适用性和可操作性，进一步加强研究成果转化应用，为社会领域政策制定实施提供重要支撑。</w:t>
      </w:r>
    </w:p>
    <w:p w14:paraId="226362AF">
      <w:pPr>
        <w:keepNext w:val="0"/>
        <w:keepLines w:val="0"/>
        <w:pageBreakBefore w:val="0"/>
        <w:kinsoku/>
        <w:wordWrap/>
        <w:overflowPunct/>
        <w:topLinePunct w:val="0"/>
        <w:autoSpaceDE/>
        <w:autoSpaceDN/>
        <w:bidi w:val="0"/>
        <w:adjustRightInd/>
        <w:snapToGrid/>
        <w:spacing w:after="157" w:afterLines="50" w:line="240" w:lineRule="auto"/>
        <w:ind w:firstLine="482"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b/>
          <w:bCs/>
          <w:i w:val="0"/>
          <w:iCs w:val="0"/>
          <w:caps w:val="0"/>
          <w:color w:val="auto"/>
          <w:spacing w:val="0"/>
          <w:sz w:val="24"/>
          <w:szCs w:val="24"/>
          <w:bdr w:val="none" w:color="auto" w:sz="0" w:space="0"/>
          <w:lang w:val="en-US" w:eastAsia="zh-CN"/>
        </w:rPr>
        <w:t>二、</w:t>
      </w:r>
      <w:r>
        <w:rPr>
          <w:rFonts w:hint="eastAsia" w:ascii="宋体" w:hAnsi="宋体" w:eastAsia="宋体" w:cs="宋体"/>
          <w:b/>
          <w:bCs/>
          <w:i w:val="0"/>
          <w:iCs w:val="0"/>
          <w:caps w:val="0"/>
          <w:color w:val="auto"/>
          <w:spacing w:val="0"/>
          <w:sz w:val="24"/>
          <w:szCs w:val="24"/>
          <w:bdr w:val="none" w:color="auto" w:sz="0" w:space="0"/>
        </w:rPr>
        <w:t>研究题目及要点</w:t>
      </w:r>
      <w:r>
        <w:rPr>
          <w:rFonts w:hint="eastAsia" w:ascii="宋体" w:hAnsi="宋体" w:eastAsia="宋体" w:cs="宋体"/>
          <w:b/>
          <w:bCs/>
          <w:i w:val="0"/>
          <w:iCs w:val="0"/>
          <w:caps w:val="0"/>
          <w:color w:val="auto"/>
          <w:spacing w:val="0"/>
          <w:sz w:val="24"/>
          <w:szCs w:val="24"/>
          <w:bdr w:val="none" w:color="auto" w:sz="0" w:space="0"/>
          <w:lang w:eastAsia="zh-CN"/>
        </w:rPr>
        <w:t>：</w:t>
      </w:r>
    </w:p>
    <w:p w14:paraId="4B562C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（一）投资于人的重点领域及潜力空间测算</w:t>
      </w:r>
    </w:p>
    <w:p w14:paraId="68C3FF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贯彻落实党的二十届四中全会、中央经济工作会议等关于“坚持投资于物与投资于人紧密结合”部署要求，本研究课题拟提出“十五五”时期“投资于人”的政策内涵、总体思路、原则目标、衡量指标，围绕教育、健康、技能培训等人的发展领域，生育养育、普惠养老、文旅体育等人的需求领域，以及收入分配、社会保障、基本公共服务均等享有等人的保障领域，分类梳理投资于人的重点领域方向和主要着力点，测算投资潜力空间规模。</w:t>
      </w:r>
    </w:p>
    <w:p w14:paraId="382C24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2.成果形式：提交投资于人的重点领域及潜力空间测算研究报告。</w:t>
      </w:r>
    </w:p>
    <w:p w14:paraId="5F702A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3.课题联系方式：010-68502862，电子邮箱：heyf@ndrc.gov.cn。</w:t>
      </w:r>
    </w:p>
    <w:p w14:paraId="499C86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（二）健全加快生活性服务业高品质多样化便利化发展机制研究</w:t>
      </w:r>
    </w:p>
    <w:p w14:paraId="415A1A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研究分析生活性服务业新业态新模式发展潜力及存在的突出问题，逐项梳理生活性服务业在市场准入、行业监管、要素保障、连锁化职业化发展、服务质量评价、数智赋能等面临的体制机制障碍，提出促进生活性服务业高品质、多样化、便利化发展的创新举措，特别是在相关体制机制的改革举措。</w:t>
      </w:r>
    </w:p>
    <w:p w14:paraId="430A53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2.成果形式：提交健全加快生活性服务业高品质多样化便利化发展机制研究报告。</w:t>
      </w:r>
    </w:p>
    <w:p w14:paraId="2B5D88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3.课题联系方式：010-68502050，电子邮箱：caoyp@ndrc.gov.cn。</w:t>
      </w:r>
    </w:p>
    <w:p w14:paraId="4E6BA1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（三）基本公共服务均等化评价办法研究</w:t>
      </w:r>
    </w:p>
    <w:p w14:paraId="00CF38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结合基本公共服务均等化理论研究和各地实践经验，以机会均等、结果相对均等为总体导向，从服务供给便利可及以及人群、城乡、区域均等化等维度，提出基本公共服务均等化评价标准的基本设计思路。在此基础上，根据不同领域特点，研究提出可操作的分领域评价指标设计，拿出监测评价方案，为制定基本公共服务均等化实现程度评价办法提供支撑。</w:t>
      </w:r>
    </w:p>
    <w:p w14:paraId="27EA03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2.成果形式：提交基本公共服务均等化评价办法研究报告、指标设计建议、监测评价方案。</w:t>
      </w:r>
    </w:p>
    <w:p w14:paraId="1059A6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3.课题联系方式：010-68502790，电子邮箱：wucj@ndrc.gov.cn。</w:t>
      </w:r>
    </w:p>
    <w:p w14:paraId="0C9C23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（四）“十五五”时期基础教育改革发展思路和重点任务研究</w:t>
      </w:r>
    </w:p>
    <w:p w14:paraId="432817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适应基础教育阶段学龄人口变化趋势，聚焦人民群众“上好学”的期盼，研究“十五五”时期基础教育改革发展面临的形势，梳理亟需改革的重点领域和难点问题，研究提出“十五五”时期基础教育改革发展的目标、任务和政策建议。</w:t>
      </w:r>
    </w:p>
    <w:p w14:paraId="42296F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2.成果形式：提交“十五五”时期基础教育改革发展思路和重点任务研究报告。</w:t>
      </w:r>
    </w:p>
    <w:p w14:paraId="5B3F59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3.课题联系方式：010-68502469，电子邮箱：wuxuey@ndrc.gov.cn。</w:t>
      </w:r>
    </w:p>
    <w:p w14:paraId="04F256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（五）区域医疗卫生资源优化配置研究</w:t>
      </w:r>
    </w:p>
    <w:p w14:paraId="36EF69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贯彻落实党的二十届四中全会关于优化医疗机构功能定位和布局的部署要求，积极适应我国人口发展和居民健康需求变化，综合评估分析我国区域医疗卫生资源配置的基本情况、面临的发展形势、存在主要问题和挑战，充分借鉴国际经验和国内改革实践，围绕完善分级诊疗体系，推进医疗、医保、医药协同发展和治理，研究厘清我国各级医疗卫生机构的功能定位，创新提出优化区域医疗卫生资源配置的总体要求、工作原则、主要目标、重点任务、政策工具、实施机制，为加快完善优质高效医疗卫生服务体系提供研究支撑。</w:t>
      </w:r>
    </w:p>
    <w:p w14:paraId="6FA749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2.成果形式：提交区域医疗卫生资源优化配置研究报告。</w:t>
      </w:r>
    </w:p>
    <w:p w14:paraId="146BDB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3.课题联系方式：010-68502033，电子邮箱：yuanzw@ndrc.gov.cn。</w:t>
      </w:r>
    </w:p>
    <w:p w14:paraId="2BCE4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（六）文化旅游领域低效项目产生原因和盘活路径研究</w:t>
      </w:r>
    </w:p>
    <w:p w14:paraId="00EF76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通过实地调研、案例剖析、大数据分析等方式，系统研究国内重点文旅项目建设运营情况，全面梳理国内低效文旅项目总体情况、典型案例、闲置原因、堵点问题、已采取的盘活措施及取得成效，研判未来文旅市场发展趋势和既有盘活政策实施效果。在此基础上，研究提出推动文旅项目盘活利用的务实举措。</w:t>
      </w:r>
    </w:p>
    <w:p w14:paraId="63DF57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2.成果形式：提交文化旅游领域低效项目产生原因和盘活路径研究报告。</w:t>
      </w:r>
    </w:p>
    <w:p w14:paraId="64EB67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3.课题联系方式：010-68502468，电子邮箱：wangda@ndrc.gov.cn。</w:t>
      </w:r>
    </w:p>
    <w:p w14:paraId="526DC9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（七）高质量户外运动目的地建设成效评估体系研究</w:t>
      </w:r>
    </w:p>
    <w:p w14:paraId="38CD77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结合高质量户外运动目的地发展要求，形成系统化、结构化的评估体系，对高质量户外运动目的地建设地区在优化政策支持、发展赛事活动、打造知名品牌、增加就业岗位、拉动户外消费、带动产业发展、提升安全水平等方面的建设成效进行评估，梳理建设过程中的典型案例，总结建设进展，并提出未来更好推动户外运动目的地建设的对策建议。</w:t>
      </w:r>
    </w:p>
    <w:p w14:paraId="18B526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2.成果形式：提交高质量户外运动目的地建设成效评估体系研究报告。</w:t>
      </w:r>
    </w:p>
    <w:p w14:paraId="3896DE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3.课题联系方式：010-68502645，电子邮箱：songwj@ndrc.gov.cn。</w:t>
      </w:r>
    </w:p>
    <w:p w14:paraId="14673D3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（八）人口高质量发展监测评估指标体系研究</w:t>
      </w:r>
    </w:p>
    <w:p w14:paraId="1FB281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1.研究要点：坚持以人口高质量发展支撑中国式现代化，厘清人口高质量发展的内涵要义，从总量、素质、结构、分布等人口自身发展、社会保障、生活品质等发展环境和人口对经济社会、资源环境的影响等方面，研究提出能够科学衡量、统筹引领人口和经济社会高质量发展的具体指标，并构建人口高质量发展评价体系。</w:t>
      </w:r>
    </w:p>
    <w:p w14:paraId="0BD8E2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2.成果形式：提交人口高质量发展监测评估指标体系研究报告。</w:t>
      </w:r>
    </w:p>
    <w:p w14:paraId="3FDB6F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3.课题联系方式：010-68502324，电子邮箱：xujian@ndrc.gov.cn。</w:t>
      </w:r>
    </w:p>
    <w:p w14:paraId="01CCBC6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643" w:firstLineChars="200"/>
        <w:jc w:val="left"/>
        <w:textAlignment w:val="auto"/>
        <w:outlineLvl w:val="9"/>
        <w:rPr>
          <w:rFonts w:hint="eastAsia" w:ascii="黑体" w:hAnsi="黑体" w:eastAsia="黑体" w:cs="黑体"/>
          <w:b/>
          <w:bCs/>
          <w:i w:val="0"/>
          <w:iCs w:val="0"/>
          <w:caps w:val="0"/>
          <w:color w:val="auto"/>
          <w:spacing w:val="0"/>
          <w:sz w:val="32"/>
          <w:szCs w:val="32"/>
        </w:rPr>
      </w:pPr>
      <w:r>
        <w:rPr>
          <w:rFonts w:hint="eastAsia" w:ascii="黑体" w:hAnsi="黑体" w:eastAsia="黑体" w:cs="黑体"/>
          <w:b/>
          <w:bCs/>
          <w:i w:val="0"/>
          <w:iCs w:val="0"/>
          <w:caps w:val="0"/>
          <w:color w:val="auto"/>
          <w:spacing w:val="0"/>
          <w:sz w:val="32"/>
          <w:szCs w:val="32"/>
        </w:rPr>
        <w:t>民营经济发展局2026年度研究课题</w:t>
      </w:r>
    </w:p>
    <w:p w14:paraId="133C24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（一）上市民营企业监测分析体系研究</w:t>
      </w:r>
    </w:p>
    <w:p w14:paraId="6B0C42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构建上市民营企业运行情况监测分析体系，多维度开展重要指标和情况监测，健全常态化监测分析机制。促进民营经济宏观形势、中观行业、微观企业分析相贯通。结合微观企业重点反映的问题，分类提出宏观调控考虑。</w:t>
      </w:r>
    </w:p>
    <w:p w14:paraId="5A0F23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咨询电话：010-68504715</w:t>
      </w:r>
    </w:p>
    <w:p w14:paraId="0AF94F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（二）推进基础设施竞争性领域向经营主体公平开放的实施路径研究</w:t>
      </w:r>
    </w:p>
    <w:p w14:paraId="090D40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聚焦交通、能源、新型基础设施，深入分析竞争性领域发展现状，结合民营企业等各类经营主体诉求和能力，研究可向经营主体开放的具体行业和环节，提出经营主体参与投资或运营的具体措施建议和实施路径，进一步激发经营主体活力。可就交通、能源、新型基础设施中的1—2个方向申报课题研究。</w:t>
      </w:r>
    </w:p>
    <w:p w14:paraId="119019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咨询电话：010-68503713</w:t>
      </w:r>
    </w:p>
    <w:p w14:paraId="35F5E6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（三）各地促进民营经济发展壮大的典型经验及创新实践研究</w:t>
      </w:r>
    </w:p>
    <w:p w14:paraId="679F6C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研究要点：研究梳理党的十八大以来，典型地区在促进民营经济发展壮大方面的创新实践和突出成效，编写典型案例，总结可复制可推广的好经验好做法，形成全国层面政策举措建议。</w:t>
      </w:r>
    </w:p>
    <w:p w14:paraId="5C49017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咨询电话：010-68503714</w:t>
      </w:r>
    </w:p>
    <w:p w14:paraId="52C9DA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643" w:firstLineChars="200"/>
        <w:jc w:val="left"/>
        <w:textAlignment w:val="auto"/>
        <w:outlineLvl w:val="9"/>
        <w:rPr>
          <w:rFonts w:hint="eastAsia" w:ascii="黑体" w:hAnsi="黑体" w:eastAsia="黑体" w:cs="黑体"/>
          <w:b/>
          <w:bCs/>
          <w:i w:val="0"/>
          <w:iCs w:val="0"/>
          <w:caps w:val="0"/>
          <w:color w:val="auto"/>
          <w:spacing w:val="0"/>
          <w:sz w:val="32"/>
          <w:szCs w:val="32"/>
        </w:rPr>
      </w:pPr>
      <w:r>
        <w:rPr>
          <w:rFonts w:hint="eastAsia" w:ascii="黑体" w:hAnsi="黑体" w:eastAsia="黑体" w:cs="黑体"/>
          <w:b/>
          <w:bCs/>
          <w:i w:val="0"/>
          <w:iCs w:val="0"/>
          <w:caps w:val="0"/>
          <w:color w:val="auto"/>
          <w:spacing w:val="0"/>
          <w:sz w:val="32"/>
          <w:szCs w:val="32"/>
        </w:rPr>
        <w:t>国民经济综合司2026年度研究课题</w:t>
      </w:r>
    </w:p>
    <w:p w14:paraId="4B2B0B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（一）增强财政金融政策协调改革协同有关问题研究</w:t>
      </w:r>
    </w:p>
    <w:p w14:paraId="597EE3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从加强财政金融政策协同配合、改革举措同向发力角度出发，在强化存量政策效果评估的基础上，综合运用多种政策工具，研提下一步财政金融政策协同的重点支持领域和具体政策设计，谋划财政领域改革与金融领域改革更好协同的思路和方向，放大宏观政策组合效应，更好撬动社会资本积极性。</w:t>
      </w:r>
    </w:p>
    <w:p w14:paraId="62E2F4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咨询电话：010-68504307</w:t>
      </w:r>
    </w:p>
    <w:p w14:paraId="0D6303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2"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bdr w:val="none" w:color="auto" w:sz="0" w:space="0"/>
        </w:rPr>
        <w:t>（二）国际金融危机以来我国产业政策效果评估及优化建议</w:t>
      </w:r>
    </w:p>
    <w:p w14:paraId="1A5A46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7" w:afterLines="50" w:afterAutospacing="0" w:line="240" w:lineRule="auto"/>
        <w:ind w:left="0" w:right="0" w:firstLine="480" w:firstLineChars="200"/>
        <w:jc w:val="left"/>
        <w:textAlignment w:val="auto"/>
        <w:outlineLvl w:val="9"/>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bdr w:val="none" w:color="auto" w:sz="0" w:space="0"/>
        </w:rPr>
        <w:t>系统梳理2008年国际金融危机以来我国出台的重大产业政策，从历史纵向、国际比较、具体成效等不同维度，对政策实施效果进行定性定量的分析评估（包括总量性评估和分行业分领域评估），结合新形势新要求，研究提出现阶段我国各行业、各领域产业政策优化调整的具体政策建议。</w:t>
      </w:r>
    </w:p>
    <w:p w14:paraId="65929D91">
      <w:pPr>
        <w:keepNext w:val="0"/>
        <w:keepLines w:val="0"/>
        <w:pageBreakBefore w:val="0"/>
        <w:kinsoku/>
        <w:wordWrap/>
        <w:overflowPunct/>
        <w:topLinePunct w:val="0"/>
        <w:autoSpaceDE/>
        <w:autoSpaceDN/>
        <w:bidi w:val="0"/>
        <w:adjustRightInd/>
        <w:snapToGrid/>
        <w:spacing w:after="157" w:afterLines="50" w:line="240" w:lineRule="auto"/>
        <w:ind w:firstLine="480" w:firstLineChars="200"/>
        <w:jc w:val="left"/>
        <w:textAlignment w:val="auto"/>
        <w:outlineLvl w:val="9"/>
        <w:rPr>
          <w:rFonts w:hint="eastAsia" w:ascii="宋体" w:hAnsi="宋体" w:eastAsia="宋体" w:cs="宋体"/>
          <w:i w:val="0"/>
          <w:iCs w:val="0"/>
          <w:caps w:val="0"/>
          <w:color w:val="auto"/>
          <w:spacing w:val="0"/>
          <w:sz w:val="24"/>
          <w:szCs w:val="24"/>
          <w:bdr w:val="none" w:color="auto" w:sz="0" w:space="0"/>
          <w:lang w:eastAsia="zh-CN"/>
        </w:rPr>
      </w:pPr>
      <w:r>
        <w:rPr>
          <w:rFonts w:hint="eastAsia" w:ascii="宋体" w:hAnsi="宋体" w:eastAsia="宋体" w:cs="宋体"/>
          <w:i w:val="0"/>
          <w:iCs w:val="0"/>
          <w:caps w:val="0"/>
          <w:color w:val="auto"/>
          <w:spacing w:val="0"/>
          <w:sz w:val="24"/>
          <w:szCs w:val="24"/>
          <w:bdr w:val="none" w:color="auto" w:sz="0" w:space="0"/>
        </w:rPr>
        <w:t>咨询电话：010—68504301</w:t>
      </w:r>
    </w:p>
    <w:p w14:paraId="4F376996">
      <w:pPr>
        <w:keepNext w:val="0"/>
        <w:keepLines w:val="0"/>
        <w:pageBreakBefore w:val="0"/>
        <w:kinsoku/>
        <w:wordWrap/>
        <w:overflowPunct/>
        <w:topLinePunct w:val="0"/>
        <w:autoSpaceDE/>
        <w:autoSpaceDN/>
        <w:bidi w:val="0"/>
        <w:adjustRightInd/>
        <w:snapToGrid/>
        <w:spacing w:after="157" w:afterLines="50" w:line="240" w:lineRule="auto"/>
        <w:jc w:val="left"/>
        <w:textAlignment w:val="auto"/>
        <w:outlineLvl w:val="9"/>
        <w:rPr>
          <w:rFonts w:hint="eastAsia" w:ascii="宋体" w:hAnsi="宋体" w:eastAsia="宋体" w:cs="宋体"/>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17329C"/>
    <w:rsid w:val="2517329C"/>
    <w:rsid w:val="5EC83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16</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2026-04-20T02:20:00Z</dcterms:created>
  <dc:creator>郭执玺</dc:creator>
  <cp:lastModifiedBy>郭执玺</cp:lastModifiedBy>
  <dcterms:modified xsi:type="dcterms:W3CDTF">2026-04-20T06:18:16Z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D58191DC8DBE462D97BE954319B9AE38_11</vt:lpwstr>
  </property>
  <property fmtid="{D5CDD505-2E9C-101B-9397-08002B2CF9AE}" pid="4" name="KSOTemplateDocerSaveRecord">
    <vt:lpwstr>eyJoZGlkIjoiZGQ2NGJiMGE3ZTY0NTdkN2JiNzQxZGI2NTg3ZjY5ZTMiLCJ1c2VySWQiOiIzNTQ3NjgzMjMifQ==</vt:lpwstr>
  </property>
</Properties>
</file>